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E7EA" w14:textId="48BA44E5" w:rsidR="00F87410" w:rsidRPr="00561D48" w:rsidRDefault="001A7375" w:rsidP="00CD117D">
      <w:pPr>
        <w:spacing w:beforeLines="150" w:before="360" w:afterLines="50" w:after="120" w:line="360" w:lineRule="auto"/>
        <w:jc w:val="center"/>
        <w:rPr>
          <w:rFonts w:eastAsiaTheme="minorEastAsia"/>
          <w:b/>
          <w:bCs/>
          <w:color w:val="002060"/>
          <w:lang w:eastAsia="zh-CN"/>
        </w:rPr>
      </w:pPr>
      <w:r>
        <w:rPr>
          <w:rFonts w:eastAsiaTheme="minorEastAsia" w:hint="eastAsia"/>
          <w:b/>
          <w:bCs/>
          <w:color w:val="002060"/>
          <w:lang w:eastAsia="zh-CN"/>
        </w:rPr>
        <w:t>The 16</w:t>
      </w:r>
      <w:r w:rsidRPr="001A7375">
        <w:rPr>
          <w:rFonts w:eastAsiaTheme="minorEastAsia" w:hint="eastAsia"/>
          <w:b/>
          <w:bCs/>
          <w:color w:val="002060"/>
          <w:vertAlign w:val="superscript"/>
          <w:lang w:eastAsia="zh-CN"/>
        </w:rPr>
        <w:t>th</w:t>
      </w:r>
      <w:r>
        <w:rPr>
          <w:rFonts w:eastAsiaTheme="minorEastAsia" w:hint="eastAsia"/>
          <w:b/>
          <w:bCs/>
          <w:color w:val="002060"/>
          <w:lang w:eastAsia="zh-CN"/>
        </w:rPr>
        <w:t xml:space="preserve"> International Conference on Quality, Reliability, Risk, Maintenance, and Safety Engineering</w:t>
      </w:r>
      <w:r w:rsidR="0015083B">
        <w:rPr>
          <w:rFonts w:eastAsiaTheme="minorEastAsia"/>
          <w:b/>
          <w:bCs/>
          <w:color w:val="002060"/>
          <w:lang w:eastAsia="zh-CN"/>
        </w:rPr>
        <w:t xml:space="preserve"> (</w:t>
      </w:r>
      <w:r w:rsidR="0015083B">
        <w:rPr>
          <w:rFonts w:eastAsiaTheme="minorEastAsia" w:hint="eastAsia"/>
          <w:b/>
          <w:bCs/>
          <w:color w:val="002060"/>
          <w:lang w:eastAsia="zh-CN"/>
        </w:rPr>
        <w:t>QR2MSE2026</w:t>
      </w:r>
      <w:r w:rsidR="0015083B">
        <w:rPr>
          <w:rFonts w:eastAsiaTheme="minorEastAsia"/>
          <w:b/>
          <w:bCs/>
          <w:color w:val="002060"/>
          <w:lang w:eastAsia="zh-CN"/>
        </w:rPr>
        <w:t>)</w:t>
      </w:r>
    </w:p>
    <w:p w14:paraId="361BE8A8" w14:textId="77777777" w:rsidR="00F87410" w:rsidRPr="00561D48" w:rsidRDefault="001A7375" w:rsidP="00F87410">
      <w:pPr>
        <w:spacing w:beforeLines="50" w:before="120" w:line="360" w:lineRule="auto"/>
        <w:jc w:val="center"/>
        <w:rPr>
          <w:rFonts w:eastAsiaTheme="minorEastAsia"/>
          <w:b/>
          <w:bCs/>
          <w:color w:val="002060"/>
          <w:lang w:eastAsia="zh-CN"/>
        </w:rPr>
      </w:pPr>
      <w:r>
        <w:rPr>
          <w:rFonts w:eastAsiaTheme="minorEastAsia" w:hint="eastAsia"/>
          <w:b/>
          <w:bCs/>
          <w:color w:val="002060"/>
          <w:lang w:eastAsia="zh-CN"/>
        </w:rPr>
        <w:t>July</w:t>
      </w:r>
      <w:r w:rsidR="00F87410" w:rsidRPr="00561D48">
        <w:rPr>
          <w:rFonts w:eastAsiaTheme="minorEastAsia"/>
          <w:b/>
          <w:bCs/>
          <w:color w:val="002060"/>
          <w:lang w:eastAsia="zh-CN"/>
        </w:rPr>
        <w:t xml:space="preserve"> </w:t>
      </w:r>
      <w:r>
        <w:rPr>
          <w:rFonts w:eastAsiaTheme="minorEastAsia" w:hint="eastAsia"/>
          <w:b/>
          <w:bCs/>
          <w:color w:val="002060"/>
          <w:lang w:eastAsia="zh-CN"/>
        </w:rPr>
        <w:t>22</w:t>
      </w:r>
      <w:r w:rsidR="00F87410" w:rsidRPr="00561D48">
        <w:rPr>
          <w:rFonts w:eastAsiaTheme="minorEastAsia"/>
          <w:b/>
          <w:bCs/>
          <w:color w:val="002060"/>
          <w:lang w:eastAsia="zh-CN"/>
        </w:rPr>
        <w:t>-</w:t>
      </w:r>
      <w:r>
        <w:rPr>
          <w:rFonts w:eastAsiaTheme="minorEastAsia" w:hint="eastAsia"/>
          <w:b/>
          <w:bCs/>
          <w:color w:val="002060"/>
          <w:lang w:eastAsia="zh-CN"/>
        </w:rPr>
        <w:t>25</w:t>
      </w:r>
      <w:r w:rsidR="00F87410" w:rsidRPr="00561D48">
        <w:rPr>
          <w:rFonts w:eastAsiaTheme="minorEastAsia"/>
          <w:b/>
          <w:bCs/>
          <w:color w:val="002060"/>
          <w:lang w:eastAsia="zh-CN"/>
        </w:rPr>
        <w:t xml:space="preserve">, 2026, </w:t>
      </w:r>
      <w:r>
        <w:rPr>
          <w:rFonts w:eastAsiaTheme="minorEastAsia" w:hint="eastAsia"/>
          <w:b/>
          <w:bCs/>
          <w:color w:val="002060"/>
          <w:lang w:eastAsia="zh-CN"/>
        </w:rPr>
        <w:t>Qingdao, Shandong</w:t>
      </w:r>
      <w:r w:rsidR="00F87410" w:rsidRPr="00561D48">
        <w:rPr>
          <w:rFonts w:eastAsiaTheme="minorEastAsia"/>
          <w:b/>
          <w:bCs/>
          <w:color w:val="002060"/>
          <w:lang w:eastAsia="zh-CN"/>
        </w:rPr>
        <w:t>, China</w:t>
      </w:r>
    </w:p>
    <w:p w14:paraId="67B9370A" w14:textId="32D41D7F" w:rsidR="00F87410" w:rsidRPr="00561D48" w:rsidRDefault="00F87410" w:rsidP="00561D48">
      <w:pPr>
        <w:spacing w:beforeLines="200" w:before="480" w:afterLines="200" w:after="480" w:line="360" w:lineRule="auto"/>
        <w:jc w:val="center"/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</w:pPr>
      <w:r w:rsidRPr="00561D48">
        <w:rPr>
          <w:rFonts w:eastAsiaTheme="minorEastAsia"/>
          <w:b/>
          <w:bCs/>
          <w:color w:val="000000" w:themeColor="text1"/>
          <w:lang w:eastAsia="zh-CN"/>
        </w:rPr>
        <w:t xml:space="preserve">Special Session on: </w:t>
      </w:r>
      <w:r w:rsidR="002B0146" w:rsidRPr="002B0146"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  <w:t>Reliability-centric Lifecycle Management for Marine and Offshore</w:t>
      </w:r>
      <w:r w:rsidR="00FE2443" w:rsidRPr="00FE2443">
        <w:t xml:space="preserve"> </w:t>
      </w:r>
      <w:r w:rsidR="00FE2443"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  <w:t>A</w:t>
      </w:r>
      <w:r w:rsidR="00FE2443" w:rsidRPr="00FE2443"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  <w:t>ssets</w:t>
      </w:r>
      <w:r w:rsidR="00FE2443"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  <w:t xml:space="preserve"> </w:t>
      </w:r>
    </w:p>
    <w:p w14:paraId="78EE8CC4" w14:textId="57B5342E" w:rsidR="00016CEB" w:rsidRDefault="00FE2443" w:rsidP="00B05538">
      <w:pPr>
        <w:spacing w:beforeLines="50" w:before="120" w:line="360" w:lineRule="auto"/>
        <w:ind w:firstLineChars="200" w:firstLine="480"/>
        <w:jc w:val="both"/>
        <w:rPr>
          <w:rFonts w:asciiTheme="majorBidi" w:hAnsiTheme="majorBidi" w:cstheme="majorBidi"/>
          <w:color w:val="000000" w:themeColor="text1"/>
          <w:shd w:val="clear" w:color="auto" w:fill="FCFCFC"/>
        </w:rPr>
      </w:pPr>
      <w:r w:rsidRPr="00FE2443">
        <w:rPr>
          <w:rFonts w:asciiTheme="majorBidi" w:hAnsiTheme="majorBidi" w:cstheme="majorBidi"/>
          <w:color w:val="000000" w:themeColor="text1"/>
          <w:shd w:val="clear" w:color="auto" w:fill="FCFCFC"/>
        </w:rPr>
        <w:t>Marine and offshore assets serve critical functions spanning maritime transportation, resource exploitation, and oceanographic research. This asset class encompasses merchant vessels, oceanographic research vessel</w:t>
      </w:r>
      <w:r w:rsidR="00200E42">
        <w:rPr>
          <w:rFonts w:asciiTheme="majorBidi" w:hAnsiTheme="majorBidi" w:cstheme="majorBidi"/>
          <w:color w:val="000000" w:themeColor="text1"/>
          <w:shd w:val="clear" w:color="auto" w:fill="FCFCFC"/>
        </w:rPr>
        <w:t>s</w:t>
      </w:r>
      <w:r w:rsidRPr="00FE2443">
        <w:rPr>
          <w:rFonts w:asciiTheme="majorBidi" w:hAnsiTheme="majorBidi" w:cstheme="majorBidi"/>
          <w:color w:val="000000" w:themeColor="text1"/>
          <w:shd w:val="clear" w:color="auto" w:fill="FCFCFC"/>
        </w:rPr>
        <w:t xml:space="preserve">, ocean renewable energy converters, drilling and mining facilities, </w:t>
      </w:r>
      <w:r w:rsidR="00200E42">
        <w:rPr>
          <w:rFonts w:asciiTheme="majorBidi" w:hAnsiTheme="majorBidi" w:cstheme="majorBidi"/>
          <w:color w:val="000000" w:themeColor="text1"/>
          <w:shd w:val="clear" w:color="auto" w:fill="FCFCFC"/>
        </w:rPr>
        <w:t xml:space="preserve">and </w:t>
      </w:r>
      <w:r w:rsidRPr="00FE2443">
        <w:rPr>
          <w:rFonts w:asciiTheme="majorBidi" w:hAnsiTheme="majorBidi" w:cstheme="majorBidi"/>
          <w:color w:val="000000" w:themeColor="text1"/>
          <w:shd w:val="clear" w:color="auto" w:fill="FCFCFC"/>
        </w:rPr>
        <w:t xml:space="preserve">subsea production systems. Such installations operate within stochastic environmental regimes and exhibit time-dependent deterioration mechanisms. Failure onset would lead to incalculable economic and societal consequences. Therefore, lifecycle reliability assurance—from conceptual design and construction through service operation, integrity management, and decommissioning—constitutes a paramount engineering priority. Accordingly, this session seeks to advance </w:t>
      </w:r>
      <w:r w:rsidR="0015083B" w:rsidRPr="00FE2443">
        <w:rPr>
          <w:rFonts w:asciiTheme="majorBidi" w:hAnsiTheme="majorBidi" w:cstheme="majorBidi"/>
          <w:color w:val="000000" w:themeColor="text1"/>
          <w:shd w:val="clear" w:color="auto" w:fill="FCFCFC"/>
        </w:rPr>
        <w:t>reliability-oriented</w:t>
      </w:r>
      <w:r w:rsidRPr="00FE2443">
        <w:rPr>
          <w:rFonts w:asciiTheme="majorBidi" w:hAnsiTheme="majorBidi" w:cstheme="majorBidi"/>
          <w:color w:val="000000" w:themeColor="text1"/>
          <w:shd w:val="clear" w:color="auto" w:fill="FCFCFC"/>
        </w:rPr>
        <w:t xml:space="preserve"> design, operation, maintenance, and disposal research that ensure marine and offshore assets remain reliable, resilient, and sustainable throughout their service lives.</w:t>
      </w:r>
    </w:p>
    <w:p w14:paraId="47817BCF" w14:textId="3D9627B7" w:rsidR="00942B5D" w:rsidRPr="00A747AA" w:rsidRDefault="00FE2443" w:rsidP="00607E1A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hd w:val="clear" w:color="auto" w:fill="FCFCFC"/>
        </w:rPr>
      </w:pPr>
      <w:r w:rsidRPr="00A747AA">
        <w:rPr>
          <w:rFonts w:asciiTheme="majorBidi" w:hAnsiTheme="majorBidi" w:cstheme="majorBidi"/>
          <w:b/>
          <w:bCs/>
          <w:color w:val="000000" w:themeColor="text1"/>
          <w:shd w:val="clear" w:color="auto" w:fill="FCFCFC"/>
        </w:rPr>
        <w:t>Topics of interest include but are not limited to:</w:t>
      </w:r>
      <w:r w:rsidR="00942B5D" w:rsidRPr="00A747AA">
        <w:rPr>
          <w:rFonts w:asciiTheme="majorBidi" w:hAnsiTheme="majorBidi" w:cstheme="majorBidi"/>
          <w:b/>
          <w:bCs/>
          <w:color w:val="000000" w:themeColor="text1"/>
          <w:shd w:val="clear" w:color="auto" w:fill="FCFCFC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5"/>
        <w:gridCol w:w="4949"/>
      </w:tblGrid>
      <w:tr w:rsidR="00B80D83" w14:paraId="79B55C77" w14:textId="77777777" w:rsidTr="00A149B1">
        <w:tc>
          <w:tcPr>
            <w:tcW w:w="5245" w:type="dxa"/>
          </w:tcPr>
          <w:p w14:paraId="675AA8A0" w14:textId="3E6EFCA6" w:rsidR="00A43D59" w:rsidRPr="00D05610" w:rsidRDefault="00A43D59" w:rsidP="00064646">
            <w:pPr>
              <w:spacing w:afterLines="50" w:after="120" w:line="240" w:lineRule="exac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D0561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CFCFC"/>
              </w:rPr>
              <w:t xml:space="preserve">Structural Design and </w:t>
            </w:r>
            <w:r w:rsidR="00624542" w:rsidRPr="00D0561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CFCFC"/>
              </w:rPr>
              <w:t>Monitoring</w:t>
            </w:r>
          </w:p>
          <w:p w14:paraId="2F81AB2F" w14:textId="3A018511" w:rsidR="00B80D83" w:rsidRPr="008C1D92" w:rsidRDefault="00B80D83" w:rsidP="00064646">
            <w:pPr>
              <w:pStyle w:val="ListParagraph"/>
              <w:numPr>
                <w:ilvl w:val="0"/>
                <w:numId w:val="2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8C1D9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Fatigue and fracture mechanics of offshore structures</w:t>
            </w:r>
          </w:p>
          <w:p w14:paraId="1C90EF9C" w14:textId="77777777" w:rsidR="00B80D83" w:rsidRPr="008C1D92" w:rsidRDefault="00B80D83" w:rsidP="00064646">
            <w:pPr>
              <w:pStyle w:val="ListParagraph"/>
              <w:numPr>
                <w:ilvl w:val="0"/>
                <w:numId w:val="2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8C1D9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Design and Fault Detection of Scientific Research Winch</w:t>
            </w:r>
          </w:p>
          <w:p w14:paraId="32EAE928" w14:textId="77777777" w:rsidR="00EF5C74" w:rsidRPr="008C1D92" w:rsidRDefault="00EF5C74" w:rsidP="00064646">
            <w:pPr>
              <w:pStyle w:val="ListParagraph"/>
              <w:numPr>
                <w:ilvl w:val="0"/>
                <w:numId w:val="2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8C1D9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Structural health monitoring and damage prognosis</w:t>
            </w:r>
          </w:p>
          <w:p w14:paraId="4958A100" w14:textId="5A84C602" w:rsidR="00B80D83" w:rsidRPr="008C1D92" w:rsidRDefault="00EF5C74" w:rsidP="00064646">
            <w:pPr>
              <w:pStyle w:val="ListParagraph"/>
              <w:numPr>
                <w:ilvl w:val="0"/>
                <w:numId w:val="2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8C1D9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Riser fatigue and subsea system reliability</w:t>
            </w:r>
          </w:p>
        </w:tc>
        <w:tc>
          <w:tcPr>
            <w:tcW w:w="4949" w:type="dxa"/>
          </w:tcPr>
          <w:p w14:paraId="64B31A0C" w14:textId="57ABCD81" w:rsidR="00624542" w:rsidRPr="00D05610" w:rsidRDefault="005F1862" w:rsidP="00064646">
            <w:pPr>
              <w:spacing w:afterLines="50" w:after="120" w:line="240" w:lineRule="exac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CFCFC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CFCFC"/>
              </w:rPr>
              <w:t>System</w:t>
            </w:r>
            <w:r w:rsidR="00624542" w:rsidRPr="00D0561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CFCFC"/>
              </w:rPr>
              <w:t xml:space="preserve"> </w:t>
            </w:r>
            <w:r w:rsidR="00D0561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CFCFC"/>
              </w:rPr>
              <w:t>Design and Optimization</w:t>
            </w:r>
          </w:p>
          <w:p w14:paraId="45FB1F2B" w14:textId="77777777" w:rsidR="00624542" w:rsidRPr="008C1D92" w:rsidRDefault="00624542" w:rsidP="00064646">
            <w:pPr>
              <w:pStyle w:val="ListParagraph"/>
              <w:numPr>
                <w:ilvl w:val="0"/>
                <w:numId w:val="3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8C1D9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Reliability assessment of offshore wind turbines</w:t>
            </w:r>
          </w:p>
          <w:p w14:paraId="4DE7822C" w14:textId="75266B29" w:rsidR="00624542" w:rsidRPr="008C1D92" w:rsidRDefault="00624542" w:rsidP="00064646">
            <w:pPr>
              <w:pStyle w:val="ListParagraph"/>
              <w:numPr>
                <w:ilvl w:val="0"/>
                <w:numId w:val="3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8C1D9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Ocean energy converter design and optimization</w:t>
            </w:r>
          </w:p>
          <w:p w14:paraId="4579ABC0" w14:textId="01A89248" w:rsidR="00624542" w:rsidRPr="008C1D92" w:rsidRDefault="00624542" w:rsidP="00064646">
            <w:pPr>
              <w:pStyle w:val="ListParagraph"/>
              <w:numPr>
                <w:ilvl w:val="0"/>
                <w:numId w:val="3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8C1D9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 xml:space="preserve">Resilience enhancement for </w:t>
            </w:r>
            <w:r w:rsidR="00DF79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 xml:space="preserve">renewable </w:t>
            </w:r>
            <w:r w:rsidRPr="008C1D9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energy systems</w:t>
            </w:r>
          </w:p>
          <w:p w14:paraId="68254AD9" w14:textId="377C06AE" w:rsidR="00B80D83" w:rsidRPr="008C1D92" w:rsidRDefault="00DC3D21" w:rsidP="00064646">
            <w:pPr>
              <w:pStyle w:val="ListParagraph"/>
              <w:numPr>
                <w:ilvl w:val="0"/>
                <w:numId w:val="3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Risk assessment for</w:t>
            </w:r>
            <w:r w:rsidR="00624542" w:rsidRPr="008C1D9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deep sea mining system</w:t>
            </w:r>
          </w:p>
        </w:tc>
      </w:tr>
      <w:tr w:rsidR="00B80D83" w14:paraId="769CFA0E" w14:textId="77777777" w:rsidTr="00A149B1">
        <w:tc>
          <w:tcPr>
            <w:tcW w:w="5245" w:type="dxa"/>
          </w:tcPr>
          <w:p w14:paraId="5DFB81B8" w14:textId="77777777" w:rsidR="00624542" w:rsidRPr="00D05610" w:rsidRDefault="00624542" w:rsidP="00064646">
            <w:pPr>
              <w:spacing w:afterLines="50" w:after="120" w:line="240" w:lineRule="exac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D0561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CFCFC"/>
              </w:rPr>
              <w:t>Intelligent Operation and Maintenance</w:t>
            </w:r>
          </w:p>
          <w:p w14:paraId="0367C9C2" w14:textId="77777777" w:rsidR="00624542" w:rsidRPr="00EF5C74" w:rsidRDefault="00624542" w:rsidP="00064646">
            <w:pPr>
              <w:pStyle w:val="ListParagraph"/>
              <w:numPr>
                <w:ilvl w:val="0"/>
                <w:numId w:val="2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EF5C7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Digital twin frameworks for marine and offshore assets</w:t>
            </w:r>
          </w:p>
          <w:p w14:paraId="3FB3CC9A" w14:textId="3CEA296A" w:rsidR="00624542" w:rsidRDefault="00624542" w:rsidP="00064646">
            <w:pPr>
              <w:pStyle w:val="ListParagraph"/>
              <w:numPr>
                <w:ilvl w:val="0"/>
                <w:numId w:val="2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EF5C7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AI-driven predictive maintenance and decision support</w:t>
            </w:r>
          </w:p>
          <w:p w14:paraId="7E4392F5" w14:textId="5A8E7DBD" w:rsidR="00E572E4" w:rsidRPr="00EF5C74" w:rsidRDefault="00E572E4" w:rsidP="00064646">
            <w:pPr>
              <w:pStyle w:val="ListParagraph"/>
              <w:numPr>
                <w:ilvl w:val="0"/>
                <w:numId w:val="2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E572E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Multi-vessel cooperative control and collision avoidance</w:t>
            </w:r>
          </w:p>
          <w:p w14:paraId="3DA9482D" w14:textId="08B7E386" w:rsidR="00B80D83" w:rsidRPr="00D05610" w:rsidRDefault="00381288" w:rsidP="00064646">
            <w:pPr>
              <w:pStyle w:val="ListParagraph"/>
              <w:numPr>
                <w:ilvl w:val="0"/>
                <w:numId w:val="2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F</w:t>
            </w:r>
            <w:r w:rsidR="00624542" w:rsidRPr="00EF5C7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ault diagnosis and remaining useful life prediction</w:t>
            </w:r>
          </w:p>
        </w:tc>
        <w:tc>
          <w:tcPr>
            <w:tcW w:w="4949" w:type="dxa"/>
          </w:tcPr>
          <w:p w14:paraId="093A5664" w14:textId="2F4C8404" w:rsidR="00624542" w:rsidRPr="00D05610" w:rsidRDefault="00E572E4" w:rsidP="00064646">
            <w:pPr>
              <w:spacing w:afterLines="50" w:after="120" w:line="240" w:lineRule="exac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E572E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CFCFC"/>
              </w:rPr>
              <w:t xml:space="preserve">Life Extension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CFCFC"/>
              </w:rPr>
              <w:t xml:space="preserve">and </w:t>
            </w:r>
            <w:r w:rsidR="00624542" w:rsidRPr="00D0561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CFCFC"/>
              </w:rPr>
              <w:t>Safety Management</w:t>
            </w:r>
          </w:p>
          <w:p w14:paraId="1E10FE5E" w14:textId="34711435" w:rsidR="00624542" w:rsidRPr="00EF5C74" w:rsidRDefault="00624542" w:rsidP="00624B34">
            <w:pPr>
              <w:pStyle w:val="ListParagraph"/>
              <w:numPr>
                <w:ilvl w:val="0"/>
                <w:numId w:val="3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EF5C7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 xml:space="preserve">Probabilistic risk </w:t>
            </w:r>
            <w:r w:rsidR="000A5FC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assessment</w:t>
            </w:r>
          </w:p>
          <w:p w14:paraId="162BC375" w14:textId="2DA1C021" w:rsidR="00624542" w:rsidRPr="00EF5C74" w:rsidRDefault="00624542" w:rsidP="00624B34">
            <w:pPr>
              <w:pStyle w:val="ListParagraph"/>
              <w:numPr>
                <w:ilvl w:val="0"/>
                <w:numId w:val="3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EF5C7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Extreme weather resilience and emergency response</w:t>
            </w:r>
          </w:p>
          <w:p w14:paraId="5594D729" w14:textId="08F10CEF" w:rsidR="00B80D83" w:rsidRDefault="00624542" w:rsidP="00624B34">
            <w:pPr>
              <w:pStyle w:val="ListParagraph"/>
              <w:numPr>
                <w:ilvl w:val="0"/>
                <w:numId w:val="3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EF5C7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Decommissioning and end-of-life safety strategies</w:t>
            </w:r>
          </w:p>
          <w:p w14:paraId="2242C56F" w14:textId="3A41C3AC" w:rsidR="000A5FCC" w:rsidRPr="00533E37" w:rsidRDefault="00533E37" w:rsidP="00533E37">
            <w:pPr>
              <w:pStyle w:val="ListParagraph"/>
              <w:numPr>
                <w:ilvl w:val="0"/>
                <w:numId w:val="3"/>
              </w:numPr>
              <w:spacing w:afterLines="50" w:after="120" w:line="240" w:lineRule="exac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</w:pPr>
            <w:r w:rsidRPr="000A5FC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 xml:space="preserve">Economic-Life-Safety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t</w:t>
            </w:r>
            <w:r w:rsidRPr="000A5FC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CFCFC"/>
              </w:rPr>
              <w:t>rade-off</w:t>
            </w:r>
          </w:p>
        </w:tc>
      </w:tr>
    </w:tbl>
    <w:p w14:paraId="32920A9F" w14:textId="27AE3D05" w:rsidR="006D5FE1" w:rsidRPr="00ED1E47" w:rsidRDefault="006D5FE1" w:rsidP="006D5FE1">
      <w:pPr>
        <w:spacing w:beforeLines="50" w:before="120" w:afterLines="50" w:after="120" w:line="240" w:lineRule="exact"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shd w:val="clear" w:color="auto" w:fill="FCFCFC"/>
          <w:lang w:eastAsia="zh-CN"/>
        </w:rPr>
      </w:pPr>
      <w:r w:rsidRPr="00ED1E47">
        <w:rPr>
          <w:rFonts w:asciiTheme="majorBidi" w:eastAsiaTheme="minorEastAsia" w:hAnsiTheme="majorBidi" w:cstheme="majorBidi" w:hint="eastAsia"/>
          <w:b/>
          <w:bCs/>
          <w:color w:val="000000" w:themeColor="text1"/>
          <w:shd w:val="clear" w:color="auto" w:fill="FCFCFC"/>
          <w:lang w:eastAsia="zh-CN"/>
        </w:rPr>
        <w:t>O</w:t>
      </w:r>
      <w:r w:rsidRPr="00ED1E47">
        <w:rPr>
          <w:rFonts w:asciiTheme="majorBidi" w:eastAsiaTheme="minorEastAsia" w:hAnsiTheme="majorBidi" w:cstheme="majorBidi"/>
          <w:b/>
          <w:bCs/>
          <w:color w:val="000000" w:themeColor="text1"/>
          <w:shd w:val="clear" w:color="auto" w:fill="FCFCFC"/>
          <w:lang w:eastAsia="zh-CN"/>
        </w:rPr>
        <w:t>rganizers: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6D5FE1" w:rsidRPr="00743C6A" w14:paraId="21880442" w14:textId="4ED05DAB" w:rsidTr="006D5FE1">
        <w:trPr>
          <w:jc w:val="center"/>
        </w:trPr>
        <w:tc>
          <w:tcPr>
            <w:tcW w:w="2038" w:type="dxa"/>
            <w:vAlign w:val="center"/>
          </w:tcPr>
          <w:p w14:paraId="27181AC7" w14:textId="4C157711" w:rsidR="0027732E" w:rsidRPr="00743C6A" w:rsidRDefault="0027732E" w:rsidP="00681399">
            <w:pPr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8"/>
                <w:szCs w:val="18"/>
                <w:lang w:val="en-US" w:eastAsia="zh-CN"/>
              </w:rPr>
            </w:pPr>
            <w:r w:rsidRPr="0027732E">
              <w:rPr>
                <w:rFonts w:asciiTheme="majorBidi" w:eastAsiaTheme="minorEastAsia" w:hAnsiTheme="majorBidi" w:cstheme="majorBidi"/>
                <w:noProof/>
                <w:color w:val="000000"/>
                <w:sz w:val="18"/>
                <w:szCs w:val="18"/>
                <w:lang w:val="en-US" w:eastAsia="zh-CN"/>
              </w:rPr>
              <w:drawing>
                <wp:inline distT="0" distB="0" distL="0" distR="0" wp14:anchorId="1CBEE162" wp14:editId="28E233B1">
                  <wp:extent cx="981913" cy="1047750"/>
                  <wp:effectExtent l="0" t="0" r="889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3"/>
                          <a:stretch/>
                        </pic:blipFill>
                        <pic:spPr bwMode="auto">
                          <a:xfrm>
                            <a:off x="0" y="0"/>
                            <a:ext cx="981913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vAlign w:val="center"/>
          </w:tcPr>
          <w:p w14:paraId="62C8130A" w14:textId="12680162" w:rsidR="0027732E" w:rsidRPr="007C5770" w:rsidRDefault="0027732E" w:rsidP="00681399">
            <w:pPr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8"/>
                <w:szCs w:val="18"/>
                <w:lang w:val="en-US" w:eastAsia="zh-CN"/>
              </w:rPr>
            </w:pPr>
            <w:r w:rsidRPr="0027732E">
              <w:rPr>
                <w:rFonts w:asciiTheme="majorBidi" w:eastAsiaTheme="minorEastAsia" w:hAnsiTheme="majorBidi" w:cstheme="majorBidi"/>
                <w:noProof/>
                <w:color w:val="000000"/>
                <w:sz w:val="18"/>
                <w:szCs w:val="18"/>
                <w:lang w:val="en-US" w:eastAsia="zh-CN"/>
              </w:rPr>
              <w:drawing>
                <wp:inline distT="0" distB="0" distL="0" distR="0" wp14:anchorId="1AC0DAD5" wp14:editId="7C81C83B">
                  <wp:extent cx="1049035" cy="1047600"/>
                  <wp:effectExtent l="0" t="0" r="0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35" cy="104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vAlign w:val="center"/>
          </w:tcPr>
          <w:p w14:paraId="308F632A" w14:textId="1AE4ECCC" w:rsidR="0027732E" w:rsidRPr="00743C6A" w:rsidRDefault="0027732E" w:rsidP="00681399">
            <w:pPr>
              <w:jc w:val="center"/>
              <w:rPr>
                <w:rFonts w:eastAsiaTheme="minorEastAsia"/>
                <w:noProof/>
                <w:sz w:val="22"/>
                <w:szCs w:val="22"/>
                <w:lang w:eastAsia="zh-CN"/>
                <w14:ligatures w14:val="standardContextual"/>
              </w:rPr>
            </w:pPr>
            <w:r w:rsidRPr="0027732E">
              <w:rPr>
                <w:rFonts w:eastAsiaTheme="minorEastAsia"/>
                <w:noProof/>
                <w:sz w:val="22"/>
                <w:szCs w:val="22"/>
                <w:lang w:eastAsia="zh-CN"/>
                <w14:ligatures w14:val="standardContextual"/>
              </w:rPr>
              <w:drawing>
                <wp:inline distT="0" distB="0" distL="0" distR="0" wp14:anchorId="7A61E792" wp14:editId="4AD92268">
                  <wp:extent cx="797681" cy="1033120"/>
                  <wp:effectExtent l="0" t="0" r="254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823"/>
                          <a:stretch/>
                        </pic:blipFill>
                        <pic:spPr bwMode="auto">
                          <a:xfrm>
                            <a:off x="0" y="0"/>
                            <a:ext cx="803133" cy="1040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vAlign w:val="center"/>
          </w:tcPr>
          <w:p w14:paraId="07DC17C1" w14:textId="02ABF1CD" w:rsidR="0027732E" w:rsidRDefault="0027732E" w:rsidP="00681399">
            <w:pPr>
              <w:jc w:val="center"/>
              <w:rPr>
                <w:rFonts w:eastAsiaTheme="minorEastAsia"/>
                <w:noProof/>
                <w:sz w:val="22"/>
                <w:szCs w:val="22"/>
                <w:lang w:val="en-US" w:eastAsia="zh-CN"/>
                <w14:ligatures w14:val="standardContextual"/>
              </w:rPr>
            </w:pPr>
            <w:r w:rsidRPr="0027732E">
              <w:rPr>
                <w:rFonts w:eastAsiaTheme="minorEastAsia"/>
                <w:noProof/>
                <w:sz w:val="22"/>
                <w:szCs w:val="22"/>
                <w:lang w:val="en-US" w:eastAsia="zh-CN"/>
                <w14:ligatures w14:val="standardContextual"/>
              </w:rPr>
              <w:drawing>
                <wp:inline distT="0" distB="0" distL="0" distR="0" wp14:anchorId="6B671C1D" wp14:editId="6BD0F879">
                  <wp:extent cx="936346" cy="1046876"/>
                  <wp:effectExtent l="0" t="0" r="0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1" r="5667"/>
                          <a:stretch/>
                        </pic:blipFill>
                        <pic:spPr bwMode="auto">
                          <a:xfrm>
                            <a:off x="0" y="0"/>
                            <a:ext cx="936994" cy="104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vAlign w:val="center"/>
          </w:tcPr>
          <w:p w14:paraId="2AA64B34" w14:textId="1EB18E48" w:rsidR="0027732E" w:rsidRDefault="0027732E" w:rsidP="00681399">
            <w:pPr>
              <w:jc w:val="center"/>
              <w:rPr>
                <w:rFonts w:eastAsiaTheme="minorEastAsia"/>
                <w:noProof/>
                <w:sz w:val="22"/>
                <w:szCs w:val="22"/>
                <w:lang w:val="en-US" w:eastAsia="zh-CN"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664DFFF1" wp14:editId="78F2B53F">
                  <wp:extent cx="936345" cy="102998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88" b="10535"/>
                          <a:stretch/>
                        </pic:blipFill>
                        <pic:spPr bwMode="auto">
                          <a:xfrm>
                            <a:off x="0" y="0"/>
                            <a:ext cx="950618" cy="104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FE1" w:rsidRPr="00743C6A" w14:paraId="67D406C9" w14:textId="489FE647" w:rsidTr="006D5FE1">
        <w:trPr>
          <w:jc w:val="center"/>
        </w:trPr>
        <w:tc>
          <w:tcPr>
            <w:tcW w:w="2038" w:type="dxa"/>
            <w:vAlign w:val="center"/>
          </w:tcPr>
          <w:p w14:paraId="7A1813D7" w14:textId="39317900" w:rsidR="0027732E" w:rsidRPr="009D0DAD" w:rsidRDefault="0027732E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</w:pPr>
            <w:r w:rsidRPr="009D0DAD"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  <w:t>Dr.</w:t>
            </w:r>
            <w:r w:rsidRPr="009D0DAD"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 w:rsidRPr="0027732E"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  <w:t>Mingxin Li</w:t>
            </w:r>
          </w:p>
          <w:p w14:paraId="08BE2455" w14:textId="196E75BF" w:rsidR="0027732E" w:rsidRPr="009D0DAD" w:rsidRDefault="00D962D5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</w:pPr>
            <w:r w:rsidRPr="00D962D5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The University of Tokyo, Japan</w:t>
            </w:r>
          </w:p>
          <w:p w14:paraId="7AB45CBC" w14:textId="77777777" w:rsidR="00687B31" w:rsidRDefault="0027732E" w:rsidP="00687B31">
            <w:pPr>
              <w:spacing w:line="312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</w:pPr>
            <w:r w:rsidRPr="009D0DAD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Email:</w:t>
            </w:r>
            <w:r w:rsidRPr="009D0DAD"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 xml:space="preserve"> </w:t>
            </w:r>
          </w:p>
          <w:p w14:paraId="018482B6" w14:textId="4AE2D28E" w:rsidR="0027732E" w:rsidRPr="009D0DAD" w:rsidRDefault="00D962D5" w:rsidP="00687B31">
            <w:pPr>
              <w:spacing w:line="312" w:lineRule="auto"/>
              <w:jc w:val="center"/>
              <w:rPr>
                <w:noProof/>
                <w:sz w:val="16"/>
                <w:szCs w:val="16"/>
                <w14:ligatures w14:val="standardContextual"/>
              </w:rPr>
            </w:pPr>
            <w:r w:rsidRPr="00D962D5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m.li@bridge.t.u-tokyo.ac.jp</w:t>
            </w:r>
          </w:p>
        </w:tc>
        <w:tc>
          <w:tcPr>
            <w:tcW w:w="2039" w:type="dxa"/>
            <w:vAlign w:val="center"/>
          </w:tcPr>
          <w:p w14:paraId="5D08038D" w14:textId="76DE3BA9" w:rsidR="0027732E" w:rsidRPr="009D0DAD" w:rsidRDefault="00900A89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>Dr. Depeng Liu</w:t>
            </w:r>
          </w:p>
          <w:p w14:paraId="286B511C" w14:textId="77777777" w:rsidR="00AA34D6" w:rsidRDefault="00AA34D6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 w:rsidRPr="00AA34D6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>China University of Petroleum, Beijing, China</w:t>
            </w:r>
          </w:p>
          <w:p w14:paraId="3F0EBD8A" w14:textId="77777777" w:rsidR="00687B31" w:rsidRDefault="0027732E" w:rsidP="00687B31">
            <w:pPr>
              <w:spacing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 w:rsidRPr="009D0DAD"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 xml:space="preserve">Email: </w:t>
            </w:r>
          </w:p>
          <w:p w14:paraId="779D1061" w14:textId="1ECD24F0" w:rsidR="0027732E" w:rsidRPr="009D0DAD" w:rsidRDefault="00AA34D6" w:rsidP="00687B31">
            <w:pPr>
              <w:spacing w:line="312" w:lineRule="auto"/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</w:pPr>
            <w:r w:rsidRPr="00AA34D6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>liudepeng@cup.edu.cn</w:t>
            </w:r>
          </w:p>
        </w:tc>
        <w:tc>
          <w:tcPr>
            <w:tcW w:w="2039" w:type="dxa"/>
            <w:vAlign w:val="center"/>
          </w:tcPr>
          <w:p w14:paraId="5F8A4416" w14:textId="650F72DD" w:rsidR="0027732E" w:rsidRPr="009D0DAD" w:rsidRDefault="0027732E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 w:rsidRPr="009D0DAD"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>Dr.</w:t>
            </w:r>
            <w:r w:rsidRPr="009D0DAD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900A89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>Haoran Ye</w:t>
            </w:r>
          </w:p>
          <w:p w14:paraId="5619104F" w14:textId="77777777" w:rsidR="00D962D5" w:rsidRDefault="00D962D5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</w:pPr>
            <w:r w:rsidRPr="00D962D5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Dalian Maritime University</w:t>
            </w:r>
            <w:r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, China</w:t>
            </w:r>
          </w:p>
          <w:p w14:paraId="78B31870" w14:textId="77777777" w:rsidR="00687B31" w:rsidRDefault="0027732E" w:rsidP="00687B31">
            <w:pPr>
              <w:spacing w:line="312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</w:pPr>
            <w:r w:rsidRPr="009D0DAD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Email:</w:t>
            </w:r>
            <w:r w:rsidRPr="009D0DAD"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 xml:space="preserve"> </w:t>
            </w:r>
          </w:p>
          <w:p w14:paraId="296850C2" w14:textId="1A7AEBC1" w:rsidR="0027732E" w:rsidRPr="009D0DAD" w:rsidRDefault="00900A89" w:rsidP="00687B31">
            <w:pPr>
              <w:spacing w:line="312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6"/>
                <w:szCs w:val="16"/>
                <w:shd w:val="clear" w:color="auto" w:fill="FCFCFC"/>
                <w:lang w:eastAsia="zh-CN"/>
              </w:rPr>
            </w:pPr>
            <w:r w:rsidRPr="00900A89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yehr@dlmu.edu.cn</w:t>
            </w:r>
          </w:p>
        </w:tc>
        <w:tc>
          <w:tcPr>
            <w:tcW w:w="2039" w:type="dxa"/>
            <w:vAlign w:val="center"/>
          </w:tcPr>
          <w:p w14:paraId="648387E9" w14:textId="09A7FC0A" w:rsidR="0027732E" w:rsidRPr="009D0DAD" w:rsidRDefault="0027732E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 w:rsidRPr="009D0DAD"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 xml:space="preserve">Dr. </w:t>
            </w:r>
            <w:r w:rsidR="00EA2BEB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>Chenfeng Huang</w:t>
            </w:r>
          </w:p>
          <w:p w14:paraId="1AF2FBD2" w14:textId="77777777" w:rsidR="00D962D5" w:rsidRDefault="00D962D5" w:rsidP="00D962D5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</w:pPr>
            <w:r w:rsidRPr="00D962D5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Dalian Maritime University</w:t>
            </w:r>
            <w:r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, China</w:t>
            </w:r>
          </w:p>
          <w:p w14:paraId="03C8071D" w14:textId="77777777" w:rsidR="00687B31" w:rsidRDefault="0027732E" w:rsidP="00687B31">
            <w:pPr>
              <w:spacing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 w:rsidRPr="009D0DAD"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 xml:space="preserve">Email: </w:t>
            </w:r>
          </w:p>
          <w:p w14:paraId="21EEF905" w14:textId="4CEEE4B0" w:rsidR="0027732E" w:rsidRPr="009D0DAD" w:rsidRDefault="00EA2BEB" w:rsidP="00687B31">
            <w:pPr>
              <w:spacing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 w:rsidRPr="00EA2BEB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>chenfengh@dlmu.edu.cn</w:t>
            </w:r>
          </w:p>
        </w:tc>
        <w:tc>
          <w:tcPr>
            <w:tcW w:w="2039" w:type="dxa"/>
          </w:tcPr>
          <w:p w14:paraId="45EE1093" w14:textId="77777777" w:rsidR="0027732E" w:rsidRDefault="00D962D5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>D</w:t>
            </w:r>
            <w:r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>r. Yu Sun</w:t>
            </w:r>
          </w:p>
          <w:p w14:paraId="26A12FDD" w14:textId="4B01E164" w:rsidR="00D962D5" w:rsidRDefault="00D962D5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>H</w:t>
            </w:r>
            <w:r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>arbin Engineering University</w:t>
            </w:r>
            <w:r w:rsidR="00D92239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>, China</w:t>
            </w:r>
          </w:p>
          <w:p w14:paraId="2F800B05" w14:textId="77777777" w:rsidR="00687B31" w:rsidRDefault="00D92239" w:rsidP="00687B31">
            <w:pPr>
              <w:spacing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 w:rsidRPr="009D0DAD"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 xml:space="preserve">Email: </w:t>
            </w:r>
          </w:p>
          <w:p w14:paraId="39520A36" w14:textId="4419DEAA" w:rsidR="00D962D5" w:rsidRPr="009D0DAD" w:rsidRDefault="00D92239" w:rsidP="00687B31">
            <w:pPr>
              <w:spacing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 w:rsidRPr="00D92239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>sunyu9@hrbeu.edu.cn</w:t>
            </w:r>
          </w:p>
        </w:tc>
      </w:tr>
    </w:tbl>
    <w:p w14:paraId="64E557CC" w14:textId="77777777" w:rsidR="00ED1E47" w:rsidRDefault="00ED1E47" w:rsidP="00ED1E47">
      <w:pPr>
        <w:spacing w:beforeLines="50" w:before="120" w:afterLines="50" w:after="120" w:line="240" w:lineRule="exact"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shd w:val="clear" w:color="auto" w:fill="FCFCFC"/>
          <w:lang w:eastAsia="zh-CN"/>
        </w:rPr>
      </w:pPr>
    </w:p>
    <w:sectPr w:rsidR="00ED1E47" w:rsidSect="00F87410">
      <w:head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7530" w14:textId="77777777" w:rsidR="00C250F2" w:rsidRDefault="00C250F2" w:rsidP="00F87410">
      <w:r>
        <w:separator/>
      </w:r>
    </w:p>
  </w:endnote>
  <w:endnote w:type="continuationSeparator" w:id="0">
    <w:p w14:paraId="6033654A" w14:textId="77777777" w:rsidR="00C250F2" w:rsidRDefault="00C250F2" w:rsidP="00F8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4052" w14:textId="77777777" w:rsidR="00C250F2" w:rsidRDefault="00C250F2" w:rsidP="00F87410">
      <w:r>
        <w:separator/>
      </w:r>
    </w:p>
  </w:footnote>
  <w:footnote w:type="continuationSeparator" w:id="0">
    <w:p w14:paraId="7C8BBC80" w14:textId="77777777" w:rsidR="00C250F2" w:rsidRDefault="00C250F2" w:rsidP="00F8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A430" w14:textId="77777777" w:rsidR="00F87410" w:rsidRDefault="00F87410">
    <w:pPr>
      <w:pStyle w:val="Header"/>
    </w:pPr>
    <w:r>
      <w:rPr>
        <w:noProof/>
        <w:lang w:val="en-US" w:eastAsia="zh-CN"/>
      </w:rPr>
      <w:drawing>
        <wp:inline distT="0" distB="0" distL="0" distR="0" wp14:anchorId="3DC93520" wp14:editId="6B07F081">
          <wp:extent cx="440413" cy="316964"/>
          <wp:effectExtent l="0" t="0" r="0" b="6985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0413" cy="316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8pt;height:10.8pt" o:bullet="t">
        <v:imagedata r:id="rId1" o:title="msoFB56"/>
      </v:shape>
    </w:pict>
  </w:numPicBullet>
  <w:abstractNum w:abstractNumId="0" w15:restartNumberingAfterBreak="0">
    <w:nsid w:val="34903534"/>
    <w:multiLevelType w:val="hybridMultilevel"/>
    <w:tmpl w:val="92A2E8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B93DB1"/>
    <w:multiLevelType w:val="hybridMultilevel"/>
    <w:tmpl w:val="005415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5F0CBC"/>
    <w:multiLevelType w:val="hybridMultilevel"/>
    <w:tmpl w:val="DF2EA52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018928">
    <w:abstractNumId w:val="2"/>
  </w:num>
  <w:num w:numId="2" w16cid:durableId="891431026">
    <w:abstractNumId w:val="0"/>
  </w:num>
  <w:num w:numId="3" w16cid:durableId="93428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10"/>
    <w:rsid w:val="000056A4"/>
    <w:rsid w:val="00016CEB"/>
    <w:rsid w:val="000222CB"/>
    <w:rsid w:val="00064646"/>
    <w:rsid w:val="000938B5"/>
    <w:rsid w:val="000A294F"/>
    <w:rsid w:val="000A5FCC"/>
    <w:rsid w:val="00113AAC"/>
    <w:rsid w:val="00126078"/>
    <w:rsid w:val="00142C42"/>
    <w:rsid w:val="00150247"/>
    <w:rsid w:val="0015083B"/>
    <w:rsid w:val="00155711"/>
    <w:rsid w:val="00180252"/>
    <w:rsid w:val="001A7375"/>
    <w:rsid w:val="001D1050"/>
    <w:rsid w:val="001E2695"/>
    <w:rsid w:val="00200E42"/>
    <w:rsid w:val="0021388F"/>
    <w:rsid w:val="002508A8"/>
    <w:rsid w:val="00260F8F"/>
    <w:rsid w:val="002719AF"/>
    <w:rsid w:val="0027732E"/>
    <w:rsid w:val="002B0146"/>
    <w:rsid w:val="002B0CB3"/>
    <w:rsid w:val="002B5E2E"/>
    <w:rsid w:val="002C412C"/>
    <w:rsid w:val="002F247E"/>
    <w:rsid w:val="003249DE"/>
    <w:rsid w:val="00381288"/>
    <w:rsid w:val="00383559"/>
    <w:rsid w:val="003D3DC4"/>
    <w:rsid w:val="00400BF9"/>
    <w:rsid w:val="00481DB4"/>
    <w:rsid w:val="004B311C"/>
    <w:rsid w:val="004D76D4"/>
    <w:rsid w:val="00510160"/>
    <w:rsid w:val="00514421"/>
    <w:rsid w:val="00525EBD"/>
    <w:rsid w:val="00533E37"/>
    <w:rsid w:val="00545278"/>
    <w:rsid w:val="00561D48"/>
    <w:rsid w:val="00565D24"/>
    <w:rsid w:val="0057179E"/>
    <w:rsid w:val="0058212D"/>
    <w:rsid w:val="005F0F51"/>
    <w:rsid w:val="005F1862"/>
    <w:rsid w:val="005F1E2C"/>
    <w:rsid w:val="005F7A5B"/>
    <w:rsid w:val="00607E1A"/>
    <w:rsid w:val="006143FC"/>
    <w:rsid w:val="00615B1C"/>
    <w:rsid w:val="00624542"/>
    <w:rsid w:val="00624B34"/>
    <w:rsid w:val="00640714"/>
    <w:rsid w:val="00642A47"/>
    <w:rsid w:val="00681399"/>
    <w:rsid w:val="00687B31"/>
    <w:rsid w:val="006B5358"/>
    <w:rsid w:val="006B5D99"/>
    <w:rsid w:val="006C22D8"/>
    <w:rsid w:val="006D3C2A"/>
    <w:rsid w:val="006D5FE1"/>
    <w:rsid w:val="006E6D2D"/>
    <w:rsid w:val="006F61D7"/>
    <w:rsid w:val="00743608"/>
    <w:rsid w:val="007D17F2"/>
    <w:rsid w:val="008166E1"/>
    <w:rsid w:val="00822A78"/>
    <w:rsid w:val="0085616E"/>
    <w:rsid w:val="00860D25"/>
    <w:rsid w:val="008B4501"/>
    <w:rsid w:val="008C1D92"/>
    <w:rsid w:val="008D1A56"/>
    <w:rsid w:val="008D7856"/>
    <w:rsid w:val="00900A89"/>
    <w:rsid w:val="0090213A"/>
    <w:rsid w:val="009175E7"/>
    <w:rsid w:val="009217A8"/>
    <w:rsid w:val="00941C90"/>
    <w:rsid w:val="00942B5A"/>
    <w:rsid w:val="00942B5D"/>
    <w:rsid w:val="009617F9"/>
    <w:rsid w:val="009C575C"/>
    <w:rsid w:val="009D0DAD"/>
    <w:rsid w:val="00A149B1"/>
    <w:rsid w:val="00A1512B"/>
    <w:rsid w:val="00A16E1A"/>
    <w:rsid w:val="00A43D59"/>
    <w:rsid w:val="00A54C2D"/>
    <w:rsid w:val="00A71AF4"/>
    <w:rsid w:val="00A747AA"/>
    <w:rsid w:val="00A7545B"/>
    <w:rsid w:val="00AA34D6"/>
    <w:rsid w:val="00AA364C"/>
    <w:rsid w:val="00AB4D6B"/>
    <w:rsid w:val="00B05538"/>
    <w:rsid w:val="00B80D83"/>
    <w:rsid w:val="00B82AEC"/>
    <w:rsid w:val="00B874A5"/>
    <w:rsid w:val="00C03FD3"/>
    <w:rsid w:val="00C07CD0"/>
    <w:rsid w:val="00C250F2"/>
    <w:rsid w:val="00C44D8F"/>
    <w:rsid w:val="00C67005"/>
    <w:rsid w:val="00C76BD6"/>
    <w:rsid w:val="00C81841"/>
    <w:rsid w:val="00C919B3"/>
    <w:rsid w:val="00CD117D"/>
    <w:rsid w:val="00CF368D"/>
    <w:rsid w:val="00D05169"/>
    <w:rsid w:val="00D05610"/>
    <w:rsid w:val="00D3704C"/>
    <w:rsid w:val="00D4502A"/>
    <w:rsid w:val="00D92239"/>
    <w:rsid w:val="00D962D5"/>
    <w:rsid w:val="00D978A1"/>
    <w:rsid w:val="00DC0562"/>
    <w:rsid w:val="00DC3D21"/>
    <w:rsid w:val="00DE5A6F"/>
    <w:rsid w:val="00DF103C"/>
    <w:rsid w:val="00DF797C"/>
    <w:rsid w:val="00E07236"/>
    <w:rsid w:val="00E07619"/>
    <w:rsid w:val="00E21918"/>
    <w:rsid w:val="00E51803"/>
    <w:rsid w:val="00E5202C"/>
    <w:rsid w:val="00E572E4"/>
    <w:rsid w:val="00E60F4E"/>
    <w:rsid w:val="00E81CEA"/>
    <w:rsid w:val="00E871C6"/>
    <w:rsid w:val="00EA2BEB"/>
    <w:rsid w:val="00EB3D24"/>
    <w:rsid w:val="00ED1E47"/>
    <w:rsid w:val="00EF5C74"/>
    <w:rsid w:val="00F245E9"/>
    <w:rsid w:val="00F36184"/>
    <w:rsid w:val="00F57053"/>
    <w:rsid w:val="00F65B06"/>
    <w:rsid w:val="00F77FC8"/>
    <w:rsid w:val="00F82D38"/>
    <w:rsid w:val="00F87410"/>
    <w:rsid w:val="00F960BE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D2C8A8"/>
  <w15:docId w15:val="{2D79F3A1-0F5D-4A4D-8163-FAF7E16E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E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CA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4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410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41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4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4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4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4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41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410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41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41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41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41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874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4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7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87410"/>
    <w:rPr>
      <w:rFonts w:ascii="Times New Roman" w:eastAsia="Times New Roman" w:hAnsi="Times New Roman" w:cs="Times New Roman"/>
      <w:kern w:val="0"/>
      <w:sz w:val="18"/>
      <w:szCs w:val="18"/>
      <w:lang w:val="en-CA" w:eastAsia="en-GB"/>
      <w14:ligatures w14:val="none"/>
    </w:rPr>
  </w:style>
  <w:style w:type="table" w:styleId="TableGrid">
    <w:name w:val="Table Grid"/>
    <w:basedOn w:val="TableNormal"/>
    <w:uiPriority w:val="39"/>
    <w:rsid w:val="00F87410"/>
    <w:pPr>
      <w:spacing w:after="0" w:line="240" w:lineRule="auto"/>
    </w:pPr>
    <w:rPr>
      <w:kern w:val="0"/>
      <w:sz w:val="24"/>
      <w:lang w:val="en-CA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87410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87410"/>
    <w:rPr>
      <w:rFonts w:ascii="Times New Roman" w:eastAsia="Times New Roman" w:hAnsi="Times New Roman" w:cs="Times New Roman"/>
      <w:kern w:val="0"/>
      <w:sz w:val="18"/>
      <w:szCs w:val="18"/>
      <w:lang w:val="en-CA"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F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8F"/>
    <w:rPr>
      <w:rFonts w:ascii="Times New Roman" w:eastAsia="Times New Roman" w:hAnsi="Times New Roman" w:cs="Times New Roman"/>
      <w:kern w:val="0"/>
      <w:sz w:val="18"/>
      <w:szCs w:val="18"/>
      <w:lang w:val="en-CA" w:eastAsia="en-GB"/>
      <w14:ligatures w14:val="none"/>
    </w:rPr>
  </w:style>
  <w:style w:type="paragraph" w:styleId="Revision">
    <w:name w:val="Revision"/>
    <w:hidden/>
    <w:uiPriority w:val="99"/>
    <w:semiHidden/>
    <w:rsid w:val="00AB4D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CA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F3E3D1-E126-7648-A502-4907AF92E1B1}">
  <we:reference id="wa200001011" version="1.4.0.0" store="en-US" storeType="OMEX"/>
  <we:alternateReferences>
    <we:reference id="wa200001011" version="1.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323</Words>
  <Characters>2266</Characters>
  <Application>Microsoft Office Word</Application>
  <DocSecurity>0</DocSecurity>
  <Lines>68</Lines>
  <Paragraphs>51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Zifei Xu</dc:creator>
  <cp:keywords/>
  <dc:description/>
  <cp:lastModifiedBy>Li, He</cp:lastModifiedBy>
  <cp:revision>62</cp:revision>
  <dcterms:created xsi:type="dcterms:W3CDTF">2026-04-03T05:36:00Z</dcterms:created>
  <dcterms:modified xsi:type="dcterms:W3CDTF">2026-04-08T12:06:00Z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1911924386</vt:i4>
  </property>
</Properties>
</file>