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5A565" w14:textId="77777777" w:rsidR="00B35DBC" w:rsidRDefault="00940FDB">
      <w:pPr>
        <w:spacing w:beforeLines="100" w:before="240" w:afterLines="50" w:after="120" w:line="360" w:lineRule="auto"/>
        <w:jc w:val="center"/>
        <w:rPr>
          <w:rFonts w:eastAsiaTheme="minorEastAsia"/>
          <w:b/>
          <w:bCs/>
          <w:color w:val="002060"/>
          <w:sz w:val="22"/>
          <w:szCs w:val="22"/>
          <w:lang w:eastAsia="zh-CN"/>
        </w:rPr>
      </w:pPr>
      <w:r>
        <w:rPr>
          <w:rFonts w:eastAsiaTheme="minorEastAsia" w:hint="eastAsia"/>
          <w:b/>
          <w:bCs/>
          <w:color w:val="002060"/>
          <w:sz w:val="22"/>
          <w:szCs w:val="22"/>
          <w:lang w:eastAsia="zh-CN"/>
        </w:rPr>
        <w:t>The 16th International Conference on Quality, Reliability, Risk, Maintenance, and Safety Engineering</w:t>
      </w:r>
    </w:p>
    <w:p w14:paraId="6315A566" w14:textId="77777777" w:rsidR="00B35DBC" w:rsidRDefault="00940FDB">
      <w:pPr>
        <w:spacing w:beforeLines="100" w:before="240" w:afterLines="50" w:after="120" w:line="360" w:lineRule="auto"/>
        <w:jc w:val="center"/>
        <w:rPr>
          <w:rFonts w:eastAsiaTheme="minorEastAsia"/>
          <w:b/>
          <w:bCs/>
          <w:color w:val="002060"/>
          <w:sz w:val="22"/>
          <w:szCs w:val="22"/>
          <w:lang w:eastAsia="zh-CN"/>
        </w:rPr>
      </w:pPr>
      <w:r>
        <w:rPr>
          <w:rFonts w:eastAsiaTheme="minorEastAsia"/>
          <w:b/>
          <w:bCs/>
          <w:color w:val="002060"/>
          <w:sz w:val="22"/>
          <w:szCs w:val="22"/>
          <w:lang w:eastAsia="zh-CN"/>
        </w:rPr>
        <w:t>(QR2MSE202</w:t>
      </w:r>
      <w:r>
        <w:rPr>
          <w:rFonts w:eastAsiaTheme="minorEastAsia" w:hint="eastAsia"/>
          <w:b/>
          <w:bCs/>
          <w:color w:val="002060"/>
          <w:sz w:val="22"/>
          <w:szCs w:val="22"/>
          <w:lang w:val="en-US" w:eastAsia="zh-CN"/>
        </w:rPr>
        <w:t>6</w:t>
      </w:r>
      <w:r>
        <w:rPr>
          <w:rFonts w:eastAsiaTheme="minorEastAsia"/>
          <w:b/>
          <w:bCs/>
          <w:color w:val="002060"/>
          <w:sz w:val="22"/>
          <w:szCs w:val="22"/>
          <w:lang w:eastAsia="zh-CN"/>
        </w:rPr>
        <w:t xml:space="preserve"> &amp; ICMR202</w:t>
      </w:r>
      <w:r>
        <w:rPr>
          <w:rFonts w:eastAsiaTheme="minorEastAsia" w:hint="eastAsia"/>
          <w:b/>
          <w:bCs/>
          <w:color w:val="002060"/>
          <w:sz w:val="22"/>
          <w:szCs w:val="22"/>
          <w:lang w:val="en-US" w:eastAsia="zh-CN"/>
        </w:rPr>
        <w:t>6</w:t>
      </w:r>
      <w:r>
        <w:rPr>
          <w:rFonts w:eastAsiaTheme="minorEastAsia"/>
          <w:b/>
          <w:bCs/>
          <w:color w:val="002060"/>
          <w:sz w:val="22"/>
          <w:szCs w:val="22"/>
          <w:lang w:eastAsia="zh-CN"/>
        </w:rPr>
        <w:t>)</w:t>
      </w:r>
    </w:p>
    <w:p w14:paraId="6315A567" w14:textId="77777777" w:rsidR="00B35DBC" w:rsidRDefault="00940FDB">
      <w:pPr>
        <w:spacing w:beforeLines="50" w:before="120" w:line="360" w:lineRule="auto"/>
        <w:jc w:val="center"/>
        <w:rPr>
          <w:rFonts w:eastAsiaTheme="minorEastAsia"/>
          <w:b/>
          <w:bCs/>
          <w:color w:val="002060"/>
          <w:sz w:val="22"/>
          <w:szCs w:val="22"/>
          <w:lang w:eastAsia="zh-CN"/>
        </w:rPr>
      </w:pPr>
      <w:r>
        <w:rPr>
          <w:rFonts w:eastAsiaTheme="minorEastAsia" w:hint="eastAsia"/>
          <w:b/>
          <w:bCs/>
          <w:color w:val="002060"/>
          <w:sz w:val="22"/>
          <w:szCs w:val="22"/>
          <w:lang w:eastAsia="zh-CN"/>
        </w:rPr>
        <w:t xml:space="preserve">July 22-25, 2026, Qingdao, </w:t>
      </w:r>
      <w:proofErr w:type="spellStart"/>
      <w:proofErr w:type="gramStart"/>
      <w:r>
        <w:rPr>
          <w:rFonts w:eastAsiaTheme="minorEastAsia" w:hint="eastAsia"/>
          <w:b/>
          <w:bCs/>
          <w:color w:val="002060"/>
          <w:sz w:val="22"/>
          <w:szCs w:val="22"/>
          <w:lang w:eastAsia="zh-CN"/>
        </w:rPr>
        <w:t>Shandong,China</w:t>
      </w:r>
      <w:proofErr w:type="spellEnd"/>
      <w:proofErr w:type="gramEnd"/>
    </w:p>
    <w:p w14:paraId="6315A568" w14:textId="77777777" w:rsidR="00B35DBC" w:rsidRDefault="00940FDB">
      <w:pPr>
        <w:spacing w:beforeLines="50" w:before="120" w:afterLines="50" w:after="120" w:line="360" w:lineRule="auto"/>
        <w:jc w:val="center"/>
        <w:rPr>
          <w:rFonts w:eastAsiaTheme="minorEastAsia"/>
          <w:b/>
          <w:bCs/>
          <w:lang w:eastAsia="zh-CN"/>
        </w:rPr>
      </w:pPr>
      <w:r>
        <w:rPr>
          <w:rFonts w:eastAsiaTheme="minorEastAsia"/>
          <w:b/>
          <w:bCs/>
          <w:lang w:eastAsia="zh-CN"/>
        </w:rPr>
        <w:t xml:space="preserve">Special Session on: </w:t>
      </w:r>
      <w:r>
        <w:rPr>
          <w:rFonts w:eastAsiaTheme="minorEastAsia" w:hint="eastAsia"/>
          <w:b/>
          <w:bCs/>
          <w:lang w:eastAsia="zh-CN"/>
        </w:rPr>
        <w:t>Advanced Reliability and Safety Assessment of Marine and Offshore Structures</w:t>
      </w:r>
    </w:p>
    <w:p w14:paraId="6315A569" w14:textId="77777777" w:rsidR="00B35DBC" w:rsidRDefault="00940FDB" w:rsidP="00940FDB">
      <w:pPr>
        <w:spacing w:after="100" w:afterAutospacing="1" w:line="360" w:lineRule="auto"/>
        <w:rPr>
          <w:rFonts w:asciiTheme="majorBidi" w:eastAsiaTheme="minorEastAsia" w:hAnsiTheme="majorBidi" w:cstheme="majorBidi"/>
          <w:sz w:val="22"/>
          <w:szCs w:val="22"/>
          <w:shd w:val="clear" w:color="auto" w:fill="FCFCFC"/>
          <w:lang w:eastAsia="zh-CN"/>
        </w:rPr>
      </w:pPr>
      <w:r>
        <w:rPr>
          <w:rFonts w:asciiTheme="majorBidi" w:eastAsiaTheme="minorEastAsia" w:hAnsiTheme="majorBidi" w:cstheme="majorBidi" w:hint="eastAsia"/>
          <w:sz w:val="22"/>
          <w:szCs w:val="22"/>
          <w:shd w:val="clear" w:color="auto" w:fill="FCFCFC"/>
          <w:lang w:eastAsia="zh-CN"/>
        </w:rPr>
        <w:t>Marine and offshore structures</w:t>
      </w:r>
      <w:r>
        <w:rPr>
          <w:rFonts w:asciiTheme="majorBidi" w:eastAsiaTheme="minorEastAsia" w:hAnsiTheme="majorBidi" w:cstheme="majorBidi" w:hint="eastAsia"/>
          <w:sz w:val="22"/>
          <w:szCs w:val="22"/>
          <w:shd w:val="clear" w:color="auto" w:fill="FCFCFC"/>
          <w:lang w:eastAsia="zh-CN"/>
        </w:rPr>
        <w:t>—</w:t>
      </w:r>
      <w:r>
        <w:rPr>
          <w:rFonts w:asciiTheme="majorBidi" w:eastAsiaTheme="minorEastAsia" w:hAnsiTheme="majorBidi" w:cstheme="majorBidi" w:hint="eastAsia"/>
          <w:sz w:val="22"/>
          <w:szCs w:val="22"/>
          <w:shd w:val="clear" w:color="auto" w:fill="FCFCFC"/>
          <w:lang w:eastAsia="zh-CN"/>
        </w:rPr>
        <w:t>including ships, offshore platforms, floating renewable energy systems, subsea infrastructures, and emerging flexible marine structures</w:t>
      </w:r>
      <w:r>
        <w:rPr>
          <w:rFonts w:asciiTheme="majorBidi" w:eastAsiaTheme="minorEastAsia" w:hAnsiTheme="majorBidi" w:cstheme="majorBidi" w:hint="eastAsia"/>
          <w:sz w:val="22"/>
          <w:szCs w:val="22"/>
          <w:shd w:val="clear" w:color="auto" w:fill="FCFCFC"/>
          <w:lang w:eastAsia="zh-CN"/>
        </w:rPr>
        <w:t>—</w:t>
      </w:r>
      <w:r>
        <w:rPr>
          <w:rFonts w:asciiTheme="majorBidi" w:eastAsiaTheme="minorEastAsia" w:hAnsiTheme="majorBidi" w:cstheme="majorBidi" w:hint="eastAsia"/>
          <w:sz w:val="22"/>
          <w:szCs w:val="22"/>
          <w:shd w:val="clear" w:color="auto" w:fill="FCFCFC"/>
          <w:lang w:eastAsia="zh-CN"/>
        </w:rPr>
        <w:t xml:space="preserve">operate in highly complex and uncertain environments. These systems are subjected to coupled environmental loads such as wind, waves, currents, ice, and temperature variations, while also experiencing material degradation, structural aging, and increasing operational complexity. Ensuring the safety, reliability, and long-term performance of these structures is therefore a </w:t>
      </w:r>
      <w:r>
        <w:rPr>
          <w:rFonts w:asciiTheme="majorBidi" w:eastAsiaTheme="minorEastAsia" w:hAnsiTheme="majorBidi" w:cstheme="majorBidi" w:hint="eastAsia"/>
          <w:sz w:val="22"/>
          <w:szCs w:val="22"/>
          <w:shd w:val="clear" w:color="auto" w:fill="FCFCFC"/>
          <w:lang w:eastAsia="zh-CN"/>
        </w:rPr>
        <w:t>critical challenge for modern ocean engineering, particularly as marine activities expand toward deep-sea, polar, and other harsh environments.</w:t>
      </w:r>
    </w:p>
    <w:p w14:paraId="6315A56A" w14:textId="77777777" w:rsidR="00B35DBC" w:rsidRDefault="00940FDB" w:rsidP="00940FDB">
      <w:pPr>
        <w:spacing w:after="100" w:afterAutospacing="1" w:line="360" w:lineRule="auto"/>
        <w:rPr>
          <w:rFonts w:asciiTheme="majorBidi" w:eastAsiaTheme="minorEastAsia" w:hAnsiTheme="majorBidi" w:cstheme="majorBidi"/>
          <w:sz w:val="22"/>
          <w:szCs w:val="22"/>
          <w:shd w:val="clear" w:color="auto" w:fill="FCFCFC"/>
          <w:lang w:eastAsia="zh-CN"/>
        </w:rPr>
      </w:pPr>
      <w:r>
        <w:rPr>
          <w:rFonts w:asciiTheme="majorBidi" w:eastAsiaTheme="minorEastAsia" w:hAnsiTheme="majorBidi" w:cstheme="majorBidi" w:hint="eastAsia"/>
          <w:sz w:val="22"/>
          <w:szCs w:val="22"/>
          <w:shd w:val="clear" w:color="auto" w:fill="FCFCFC"/>
          <w:lang w:eastAsia="zh-CN"/>
        </w:rPr>
        <w:t>Recent advances in computational mechanics, sensing technologies, and data-driven methods have created new opportunities for improving the reliability assessment and safety management of marine structures. Emerging approaches such as multi-physics coupling modelling, digital twin technologies, structural health monitoring, and artificial intelligence are enabling more accurate prediction of structural behaviour, real-time condition evaluation, and proactive risk management. These developments are transformi</w:t>
      </w:r>
      <w:r>
        <w:rPr>
          <w:rFonts w:asciiTheme="majorBidi" w:eastAsiaTheme="minorEastAsia" w:hAnsiTheme="majorBidi" w:cstheme="majorBidi" w:hint="eastAsia"/>
          <w:sz w:val="22"/>
          <w:szCs w:val="22"/>
          <w:shd w:val="clear" w:color="auto" w:fill="FCFCFC"/>
          <w:lang w:eastAsia="zh-CN"/>
        </w:rPr>
        <w:t>ng traditional reliability analysis methods from static, design-stage evaluation toward dynamic, data-informed lifecycle assessment.</w:t>
      </w:r>
    </w:p>
    <w:p w14:paraId="6315A56B" w14:textId="77777777" w:rsidR="00B35DBC" w:rsidRDefault="00940FDB">
      <w:pPr>
        <w:spacing w:beforeLines="50" w:before="120" w:after="100" w:afterAutospacing="1" w:line="360" w:lineRule="auto"/>
        <w:rPr>
          <w:rFonts w:asciiTheme="majorBidi" w:eastAsiaTheme="minorEastAsia" w:hAnsiTheme="majorBidi" w:cstheme="majorBidi"/>
          <w:sz w:val="22"/>
          <w:szCs w:val="22"/>
          <w:shd w:val="clear" w:color="auto" w:fill="FCFCFC"/>
          <w:lang w:eastAsia="zh-CN"/>
        </w:rPr>
      </w:pPr>
      <w:r>
        <w:rPr>
          <w:rFonts w:asciiTheme="majorBidi" w:eastAsiaTheme="minorEastAsia" w:hAnsiTheme="majorBidi" w:cstheme="majorBidi" w:hint="eastAsia"/>
          <w:sz w:val="22"/>
          <w:szCs w:val="22"/>
          <w:shd w:val="clear" w:color="auto" w:fill="FCFCFC"/>
          <w:lang w:eastAsia="zh-CN"/>
        </w:rPr>
        <w:t>The aim of this special session is to bring together researchers and practitioners from academia and industry to exchange ideas and present the latest advances in reliability theory, modelling techniques, and intelligent assessment methods for marine and offshore systems. By fostering interdisciplinary collaboration across structural mechanics, reliability engineering, data science, and ocean engineering, this session seeks to promote innovative solutions that enhance the safety, resilience, and sustainabil</w:t>
      </w:r>
      <w:r>
        <w:rPr>
          <w:rFonts w:asciiTheme="majorBidi" w:eastAsiaTheme="minorEastAsia" w:hAnsiTheme="majorBidi" w:cstheme="majorBidi" w:hint="eastAsia"/>
          <w:sz w:val="22"/>
          <w:szCs w:val="22"/>
          <w:shd w:val="clear" w:color="auto" w:fill="FCFCFC"/>
          <w:lang w:eastAsia="zh-CN"/>
        </w:rPr>
        <w:t>ity of marine infrastructures.</w:t>
      </w:r>
    </w:p>
    <w:p w14:paraId="6315A56C" w14:textId="77777777" w:rsidR="00B35DBC" w:rsidRDefault="00940FDB">
      <w:pPr>
        <w:spacing w:beforeLines="50" w:before="120" w:after="100" w:afterAutospacing="1" w:line="360" w:lineRule="auto"/>
        <w:rPr>
          <w:lang w:val="en-GB" w:eastAsia="zh-CN"/>
        </w:rPr>
      </w:pPr>
      <w:r>
        <w:rPr>
          <w:rStyle w:val="Strong"/>
          <w:rFonts w:eastAsiaTheme="majorEastAsia"/>
        </w:rPr>
        <w:t>Topics of Interest (but not limited to):</w:t>
      </w:r>
    </w:p>
    <w:p w14:paraId="6315A56D" w14:textId="77777777" w:rsidR="00B35DBC" w:rsidRDefault="00940FDB">
      <w:pPr>
        <w:numPr>
          <w:ilvl w:val="0"/>
          <w:numId w:val="1"/>
        </w:numPr>
        <w:spacing w:beforeLines="50" w:before="120" w:after="100" w:afterAutospacing="1" w:line="360" w:lineRule="auto"/>
      </w:pPr>
      <w:r>
        <w:rPr>
          <w:rFonts w:hint="eastAsia"/>
        </w:rPr>
        <w:t>Multi-Physics Coupling and Reliability of Marine and Offshore Structures</w:t>
      </w:r>
    </w:p>
    <w:p w14:paraId="6315A56E" w14:textId="77777777" w:rsidR="00B35DBC" w:rsidRDefault="00940FDB">
      <w:pPr>
        <w:numPr>
          <w:ilvl w:val="0"/>
          <w:numId w:val="1"/>
        </w:numPr>
        <w:spacing w:beforeLines="50" w:before="120" w:after="100" w:afterAutospacing="1" w:line="360" w:lineRule="auto"/>
      </w:pPr>
      <w:r>
        <w:rPr>
          <w:rFonts w:hint="eastAsia"/>
        </w:rPr>
        <w:t>Reliability and Stability of Flexible Marine Structures</w:t>
      </w:r>
    </w:p>
    <w:p w14:paraId="6315A56F" w14:textId="77777777" w:rsidR="00B35DBC" w:rsidRDefault="00940FDB">
      <w:pPr>
        <w:numPr>
          <w:ilvl w:val="0"/>
          <w:numId w:val="1"/>
        </w:numPr>
        <w:spacing w:beforeLines="50" w:before="120" w:after="100" w:afterAutospacing="1" w:line="360" w:lineRule="auto"/>
      </w:pPr>
      <w:r>
        <w:rPr>
          <w:rFonts w:eastAsia="SimSun" w:hint="eastAsia"/>
          <w:lang w:val="en-US" w:eastAsia="zh-CN"/>
        </w:rPr>
        <w:t>Safety and R</w:t>
      </w:r>
      <w:proofErr w:type="spellStart"/>
      <w:r>
        <w:rPr>
          <w:rFonts w:hint="eastAsia"/>
        </w:rPr>
        <w:t>eliability</w:t>
      </w:r>
      <w:proofErr w:type="spellEnd"/>
      <w:r>
        <w:rPr>
          <w:rFonts w:hint="eastAsia"/>
        </w:rPr>
        <w:t xml:space="preserve"> of</w:t>
      </w:r>
      <w:r>
        <w:rPr>
          <w:rFonts w:eastAsia="SimSun" w:hint="eastAsia"/>
          <w:lang w:val="en-US" w:eastAsia="zh-CN"/>
        </w:rPr>
        <w:t xml:space="preserve"> Marine S</w:t>
      </w:r>
      <w:proofErr w:type="spellStart"/>
      <w:r>
        <w:rPr>
          <w:rFonts w:hint="eastAsia"/>
        </w:rPr>
        <w:t>tructures</w:t>
      </w:r>
      <w:proofErr w:type="spellEnd"/>
      <w:r>
        <w:rPr>
          <w:rFonts w:hint="eastAsia"/>
        </w:rPr>
        <w:t xml:space="preserve"> in </w:t>
      </w:r>
      <w:r>
        <w:rPr>
          <w:rFonts w:eastAsia="SimSun" w:hint="eastAsia"/>
          <w:lang w:val="en-US" w:eastAsia="zh-CN"/>
        </w:rPr>
        <w:t>P</w:t>
      </w:r>
      <w:proofErr w:type="spellStart"/>
      <w:r>
        <w:rPr>
          <w:rFonts w:hint="eastAsia"/>
        </w:rPr>
        <w:t>olar</w:t>
      </w:r>
      <w:proofErr w:type="spellEnd"/>
      <w:r>
        <w:rPr>
          <w:rFonts w:hint="eastAsia"/>
        </w:rPr>
        <w:t xml:space="preserve"> and </w:t>
      </w:r>
      <w:r>
        <w:rPr>
          <w:rFonts w:eastAsia="SimSun" w:hint="eastAsia"/>
          <w:lang w:val="en-US" w:eastAsia="zh-CN"/>
        </w:rPr>
        <w:t>C</w:t>
      </w:r>
      <w:r>
        <w:rPr>
          <w:rFonts w:hint="eastAsia"/>
        </w:rPr>
        <w:t xml:space="preserve">old </w:t>
      </w:r>
      <w:r>
        <w:rPr>
          <w:rFonts w:eastAsia="SimSun" w:hint="eastAsia"/>
          <w:lang w:val="en-US" w:eastAsia="zh-CN"/>
        </w:rPr>
        <w:t>M</w:t>
      </w:r>
      <w:proofErr w:type="spellStart"/>
      <w:r>
        <w:rPr>
          <w:rFonts w:hint="eastAsia"/>
        </w:rPr>
        <w:t>arine</w:t>
      </w:r>
      <w:proofErr w:type="spellEnd"/>
      <w:r>
        <w:rPr>
          <w:rFonts w:hint="eastAsia"/>
        </w:rPr>
        <w:t xml:space="preserve"> </w:t>
      </w:r>
      <w:r>
        <w:rPr>
          <w:rFonts w:eastAsia="SimSun" w:hint="eastAsia"/>
          <w:lang w:val="en-US" w:eastAsia="zh-CN"/>
        </w:rPr>
        <w:t>E</w:t>
      </w:r>
      <w:proofErr w:type="spellStart"/>
      <w:r>
        <w:rPr>
          <w:rFonts w:hint="eastAsia"/>
        </w:rPr>
        <w:t>nvironments</w:t>
      </w:r>
      <w:proofErr w:type="spellEnd"/>
    </w:p>
    <w:p w14:paraId="6315A570" w14:textId="77777777" w:rsidR="00B35DBC" w:rsidRDefault="00940FDB">
      <w:pPr>
        <w:numPr>
          <w:ilvl w:val="0"/>
          <w:numId w:val="1"/>
        </w:numPr>
        <w:spacing w:beforeLines="50" w:before="120" w:after="100" w:afterAutospacing="1" w:line="360" w:lineRule="auto"/>
      </w:pPr>
      <w:r>
        <w:rPr>
          <w:rFonts w:hint="eastAsia"/>
        </w:rPr>
        <w:t>Safety Assessment of Marine Structures</w:t>
      </w:r>
    </w:p>
    <w:p w14:paraId="6315A571" w14:textId="77777777" w:rsidR="00B35DBC" w:rsidRDefault="00940FDB">
      <w:pPr>
        <w:numPr>
          <w:ilvl w:val="0"/>
          <w:numId w:val="1"/>
        </w:numPr>
        <w:spacing w:beforeLines="50" w:before="120" w:after="100" w:afterAutospacing="1" w:line="360" w:lineRule="auto"/>
      </w:pPr>
      <w:r>
        <w:rPr>
          <w:rFonts w:hint="eastAsia"/>
        </w:rPr>
        <w:t>Maritime Security and Risk Assessment</w:t>
      </w:r>
    </w:p>
    <w:p w14:paraId="6315A572" w14:textId="77777777" w:rsidR="00B35DBC" w:rsidRDefault="00940FDB">
      <w:pPr>
        <w:numPr>
          <w:ilvl w:val="0"/>
          <w:numId w:val="1"/>
        </w:numPr>
        <w:spacing w:beforeLines="50" w:before="120" w:after="100" w:afterAutospacing="1" w:line="360" w:lineRule="auto"/>
      </w:pPr>
      <w:r>
        <w:rPr>
          <w:rFonts w:hint="eastAsia"/>
        </w:rPr>
        <w:t>Reliability Assessment in Ship and Offshore Hydrodynamics</w:t>
      </w:r>
    </w:p>
    <w:p w14:paraId="6315A573" w14:textId="77777777" w:rsidR="00B35DBC" w:rsidRDefault="00940FDB">
      <w:pPr>
        <w:numPr>
          <w:ilvl w:val="0"/>
          <w:numId w:val="1"/>
        </w:numPr>
        <w:spacing w:beforeLines="50" w:before="120" w:after="100" w:afterAutospacing="1" w:line="360" w:lineRule="auto"/>
      </w:pPr>
      <w:r>
        <w:rPr>
          <w:rFonts w:hint="eastAsia"/>
        </w:rPr>
        <w:t>Modeling and Reliability Prediction of Marine Composite Structures</w:t>
      </w:r>
    </w:p>
    <w:p w14:paraId="6315A574" w14:textId="77777777" w:rsidR="00B35DBC" w:rsidRDefault="00940FDB">
      <w:pPr>
        <w:numPr>
          <w:ilvl w:val="0"/>
          <w:numId w:val="1"/>
        </w:numPr>
        <w:spacing w:beforeLines="50" w:before="120" w:after="100" w:afterAutospacing="1" w:line="360" w:lineRule="auto"/>
      </w:pPr>
      <w:r>
        <w:rPr>
          <w:rFonts w:hint="eastAsia"/>
        </w:rPr>
        <w:t xml:space="preserve">Design and Reliability Analysis of Metamaterials and </w:t>
      </w:r>
      <w:proofErr w:type="spellStart"/>
      <w:r>
        <w:rPr>
          <w:rFonts w:hint="eastAsia"/>
        </w:rPr>
        <w:t>Metastructures</w:t>
      </w:r>
      <w:proofErr w:type="spellEnd"/>
    </w:p>
    <w:p w14:paraId="6315A575" w14:textId="77777777" w:rsidR="00B35DBC" w:rsidRDefault="00940FDB">
      <w:pPr>
        <w:numPr>
          <w:ilvl w:val="0"/>
          <w:numId w:val="1"/>
        </w:numPr>
        <w:spacing w:beforeLines="50" w:before="120" w:after="100" w:afterAutospacing="1" w:line="360" w:lineRule="auto"/>
      </w:pPr>
      <w:r>
        <w:rPr>
          <w:rFonts w:hint="eastAsia"/>
        </w:rPr>
        <w:lastRenderedPageBreak/>
        <w:t>Digital Twin Technologies and Structural Health Monitoring for Marine Structural Reliability</w:t>
      </w:r>
    </w:p>
    <w:p w14:paraId="6315A576" w14:textId="77777777" w:rsidR="00B35DBC" w:rsidRDefault="00940FDB">
      <w:pPr>
        <w:numPr>
          <w:ilvl w:val="0"/>
          <w:numId w:val="1"/>
        </w:numPr>
        <w:spacing w:beforeLines="50" w:before="120" w:after="100" w:afterAutospacing="1" w:line="360" w:lineRule="auto"/>
      </w:pPr>
      <w:r>
        <w:rPr>
          <w:rFonts w:hint="eastAsia"/>
        </w:rPr>
        <w:t>Artificial Intelligence and Data-Driven Methods for Structural Reliability Analysis</w:t>
      </w:r>
    </w:p>
    <w:tbl>
      <w:tblPr>
        <w:tblStyle w:val="TableGrid"/>
        <w:tblW w:w="467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7"/>
        <w:gridCol w:w="2387"/>
        <w:gridCol w:w="2387"/>
      </w:tblGrid>
      <w:tr w:rsidR="00B35DBC" w14:paraId="6315A57B" w14:textId="77777777">
        <w:trPr>
          <w:jc w:val="center"/>
        </w:trPr>
        <w:tc>
          <w:tcPr>
            <w:tcW w:w="1250" w:type="pct"/>
          </w:tcPr>
          <w:p w14:paraId="6315A577" w14:textId="77777777" w:rsidR="00B35DBC" w:rsidRDefault="00940FDB">
            <w:pPr>
              <w:spacing w:beforeLines="50" w:before="120" w:line="360"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noProof/>
                <w:sz w:val="18"/>
                <w:szCs w:val="18"/>
                <w:lang w:val="en-US" w:eastAsia="zh-CN"/>
              </w:rPr>
              <w:drawing>
                <wp:inline distT="0" distB="0" distL="114300" distR="114300" wp14:anchorId="6315A58D" wp14:editId="6315A58E">
                  <wp:extent cx="537210" cy="687070"/>
                  <wp:effectExtent l="0" t="0" r="0" b="0"/>
                  <wp:docPr id="7" name="图片 7" descr="1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寸"/>
                          <pic:cNvPicPr>
                            <a:picLocks noChangeAspect="1"/>
                          </pic:cNvPicPr>
                        </pic:nvPicPr>
                        <pic:blipFill>
                          <a:blip r:embed="rId7"/>
                          <a:srcRect t="9414" b="4154"/>
                          <a:stretch>
                            <a:fillRect/>
                          </a:stretch>
                        </pic:blipFill>
                        <pic:spPr>
                          <a:xfrm>
                            <a:off x="0" y="0"/>
                            <a:ext cx="537210" cy="687070"/>
                          </a:xfrm>
                          <a:prstGeom prst="rect">
                            <a:avLst/>
                          </a:prstGeom>
                        </pic:spPr>
                      </pic:pic>
                    </a:graphicData>
                  </a:graphic>
                </wp:inline>
              </w:drawing>
            </w:r>
          </w:p>
        </w:tc>
        <w:tc>
          <w:tcPr>
            <w:tcW w:w="1250" w:type="pct"/>
          </w:tcPr>
          <w:p w14:paraId="6315A578" w14:textId="77777777" w:rsidR="00B35DBC" w:rsidRDefault="00940FDB">
            <w:pPr>
              <w:spacing w:beforeLines="50" w:before="120"/>
              <w:jc w:val="center"/>
              <w:rPr>
                <w:rFonts w:eastAsia="SimSun"/>
                <w:lang w:eastAsia="zh-CN"/>
                <w14:ligatures w14:val="standardContextual"/>
              </w:rPr>
            </w:pPr>
            <w:r>
              <w:rPr>
                <w:rFonts w:eastAsia="SimSun" w:hint="eastAsia"/>
                <w:noProof/>
                <w:lang w:eastAsia="zh-CN"/>
                <w14:ligatures w14:val="standardContextual"/>
              </w:rPr>
              <w:drawing>
                <wp:inline distT="0" distB="0" distL="114300" distR="114300" wp14:anchorId="6315A58F" wp14:editId="6315A590">
                  <wp:extent cx="527050" cy="685800"/>
                  <wp:effectExtent l="0" t="0" r="0" b="0"/>
                  <wp:docPr id="2" name="图片 2" descr="8a171b78a6c22d10d32c2f1808bb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a171b78a6c22d10d32c2f1808bb9613"/>
                          <pic:cNvPicPr>
                            <a:picLocks noChangeAspect="1"/>
                          </pic:cNvPicPr>
                        </pic:nvPicPr>
                        <pic:blipFill>
                          <a:blip r:embed="rId8"/>
                          <a:srcRect t="4762"/>
                          <a:stretch>
                            <a:fillRect/>
                          </a:stretch>
                        </pic:blipFill>
                        <pic:spPr>
                          <a:xfrm>
                            <a:off x="0" y="0"/>
                            <a:ext cx="527050" cy="685800"/>
                          </a:xfrm>
                          <a:prstGeom prst="rect">
                            <a:avLst/>
                          </a:prstGeom>
                        </pic:spPr>
                      </pic:pic>
                    </a:graphicData>
                  </a:graphic>
                </wp:inline>
              </w:drawing>
            </w:r>
          </w:p>
        </w:tc>
        <w:tc>
          <w:tcPr>
            <w:tcW w:w="1250" w:type="pct"/>
          </w:tcPr>
          <w:p w14:paraId="6315A579" w14:textId="77777777" w:rsidR="00B35DBC" w:rsidRDefault="00940FDB">
            <w:pPr>
              <w:spacing w:beforeLines="50" w:before="120"/>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noProof/>
                <w:sz w:val="18"/>
                <w:szCs w:val="18"/>
                <w:lang w:val="en-US" w:eastAsia="zh-CN"/>
              </w:rPr>
              <w:drawing>
                <wp:inline distT="0" distB="0" distL="114300" distR="114300" wp14:anchorId="6315A591" wp14:editId="6315A592">
                  <wp:extent cx="556895" cy="699770"/>
                  <wp:effectExtent l="0" t="0" r="0" b="0"/>
                  <wp:docPr id="3" name="图片 3" descr="ecf426bea1ea5a1cba8135b1576a0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cf426bea1ea5a1cba8135b1576a0658"/>
                          <pic:cNvPicPr>
                            <a:picLocks noChangeAspect="1"/>
                          </pic:cNvPicPr>
                        </pic:nvPicPr>
                        <pic:blipFill>
                          <a:blip r:embed="rId9"/>
                          <a:srcRect t="2600" b="7880"/>
                          <a:stretch>
                            <a:fillRect/>
                          </a:stretch>
                        </pic:blipFill>
                        <pic:spPr>
                          <a:xfrm>
                            <a:off x="0" y="0"/>
                            <a:ext cx="556953" cy="699770"/>
                          </a:xfrm>
                          <a:prstGeom prst="rect">
                            <a:avLst/>
                          </a:prstGeom>
                        </pic:spPr>
                      </pic:pic>
                    </a:graphicData>
                  </a:graphic>
                </wp:inline>
              </w:drawing>
            </w:r>
          </w:p>
        </w:tc>
        <w:tc>
          <w:tcPr>
            <w:tcW w:w="1250" w:type="pct"/>
          </w:tcPr>
          <w:p w14:paraId="6315A57A" w14:textId="77777777" w:rsidR="00B35DBC" w:rsidRDefault="00940FDB">
            <w:pPr>
              <w:spacing w:beforeLines="50" w:before="120" w:line="360" w:lineRule="auto"/>
              <w:jc w:val="center"/>
              <w:rPr>
                <w:rFonts w:eastAsiaTheme="minorEastAsia"/>
                <w:sz w:val="22"/>
                <w:szCs w:val="22"/>
                <w:lang w:eastAsia="zh-CN"/>
                <w14:ligatures w14:val="standardContextual"/>
              </w:rPr>
            </w:pPr>
            <w:r>
              <w:rPr>
                <w:rFonts w:eastAsiaTheme="minorEastAsia"/>
                <w:noProof/>
                <w:sz w:val="22"/>
                <w:szCs w:val="22"/>
                <w:lang w:eastAsia="zh-CN"/>
                <w14:ligatures w14:val="standardContextual"/>
              </w:rPr>
              <w:drawing>
                <wp:inline distT="0" distB="0" distL="114300" distR="114300" wp14:anchorId="6315A593" wp14:editId="6315A594">
                  <wp:extent cx="549275" cy="710565"/>
                  <wp:effectExtent l="0" t="0" r="0" b="0"/>
                  <wp:docPr id="4" name="图片 4" descr="79399f7de4de5c96020066e346036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9399f7de4de5c96020066e346036173"/>
                          <pic:cNvPicPr>
                            <a:picLocks noChangeAspect="1"/>
                          </pic:cNvPicPr>
                        </pic:nvPicPr>
                        <pic:blipFill>
                          <a:blip r:embed="rId10"/>
                          <a:srcRect b="7597"/>
                          <a:stretch>
                            <a:fillRect/>
                          </a:stretch>
                        </pic:blipFill>
                        <pic:spPr>
                          <a:xfrm>
                            <a:off x="0" y="0"/>
                            <a:ext cx="549275" cy="710565"/>
                          </a:xfrm>
                          <a:prstGeom prst="rect">
                            <a:avLst/>
                          </a:prstGeom>
                        </pic:spPr>
                      </pic:pic>
                    </a:graphicData>
                  </a:graphic>
                </wp:inline>
              </w:drawing>
            </w:r>
          </w:p>
        </w:tc>
      </w:tr>
      <w:tr w:rsidR="00B35DBC" w14:paraId="6315A589" w14:textId="77777777">
        <w:trPr>
          <w:jc w:val="center"/>
        </w:trPr>
        <w:tc>
          <w:tcPr>
            <w:tcW w:w="1250" w:type="pct"/>
          </w:tcPr>
          <w:p w14:paraId="6315A57C" w14:textId="77777777" w:rsidR="00B35DBC" w:rsidRDefault="00940FDB">
            <w:pPr>
              <w:spacing w:beforeLines="50" w:before="120" w:line="312"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sz w:val="18"/>
                <w:szCs w:val="18"/>
                <w:lang w:val="en-US" w:eastAsia="zh-CN"/>
              </w:rPr>
              <w:t xml:space="preserve">Dr. </w:t>
            </w:r>
            <w:proofErr w:type="spellStart"/>
            <w:r>
              <w:rPr>
                <w:rFonts w:asciiTheme="majorBidi" w:eastAsiaTheme="minorEastAsia" w:hAnsiTheme="majorBidi" w:cstheme="majorBidi"/>
                <w:sz w:val="18"/>
                <w:szCs w:val="18"/>
                <w:lang w:val="en-US" w:eastAsia="zh-CN"/>
              </w:rPr>
              <w:t>Yunling</w:t>
            </w:r>
            <w:proofErr w:type="spellEnd"/>
            <w:r>
              <w:rPr>
                <w:rFonts w:asciiTheme="majorBidi" w:eastAsiaTheme="minorEastAsia" w:hAnsiTheme="majorBidi" w:cstheme="majorBidi"/>
                <w:sz w:val="18"/>
                <w:szCs w:val="18"/>
                <w:lang w:val="en-US" w:eastAsia="zh-CN"/>
              </w:rPr>
              <w:t xml:space="preserve"> Ye</w:t>
            </w:r>
          </w:p>
          <w:p w14:paraId="6315A57D" w14:textId="77777777" w:rsidR="00B35DBC" w:rsidRDefault="00940FDB">
            <w:pPr>
              <w:spacing w:beforeLines="50" w:before="120" w:line="312"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hint="eastAsia"/>
                <w:sz w:val="18"/>
                <w:szCs w:val="18"/>
                <w:lang w:val="en-US" w:eastAsia="zh-CN"/>
              </w:rPr>
              <w:t>Wuhan University of Technology</w:t>
            </w:r>
            <w:r>
              <w:rPr>
                <w:rFonts w:asciiTheme="majorBidi" w:eastAsiaTheme="minorEastAsia" w:hAnsiTheme="majorBidi" w:cstheme="majorBidi"/>
                <w:sz w:val="18"/>
                <w:szCs w:val="18"/>
                <w:lang w:val="en-US" w:eastAsia="zh-CN"/>
              </w:rPr>
              <w:t>, China</w:t>
            </w:r>
          </w:p>
          <w:p w14:paraId="6315A57E" w14:textId="77777777" w:rsidR="00B35DBC" w:rsidRDefault="00940FDB">
            <w:pPr>
              <w:spacing w:beforeLines="50" w:before="120" w:line="312" w:lineRule="auto"/>
              <w:jc w:val="center"/>
              <w:rPr>
                <w:sz w:val="22"/>
                <w:szCs w:val="22"/>
                <w14:ligatures w14:val="standardContextual"/>
              </w:rPr>
            </w:pPr>
            <w:r>
              <w:rPr>
                <w:rFonts w:asciiTheme="majorBidi" w:eastAsiaTheme="minorEastAsia" w:hAnsiTheme="majorBidi" w:cstheme="majorBidi"/>
                <w:sz w:val="18"/>
                <w:szCs w:val="18"/>
                <w:lang w:val="en-US" w:eastAsia="zh-CN"/>
              </w:rPr>
              <w:t>Email: yeyunling@whut.edu.cn</w:t>
            </w:r>
          </w:p>
        </w:tc>
        <w:tc>
          <w:tcPr>
            <w:tcW w:w="1250" w:type="pct"/>
          </w:tcPr>
          <w:p w14:paraId="6315A57F" w14:textId="77777777" w:rsidR="00B35DBC" w:rsidRDefault="00940FDB">
            <w:pPr>
              <w:spacing w:beforeLines="50" w:before="120" w:line="312"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sz w:val="18"/>
                <w:szCs w:val="18"/>
                <w:lang w:val="en-US" w:eastAsia="zh-CN"/>
              </w:rPr>
              <w:t xml:space="preserve">Dr. </w:t>
            </w:r>
            <w:proofErr w:type="spellStart"/>
            <w:r>
              <w:rPr>
                <w:rFonts w:asciiTheme="majorBidi" w:eastAsiaTheme="minorEastAsia" w:hAnsiTheme="majorBidi" w:cstheme="majorBidi" w:hint="eastAsia"/>
                <w:sz w:val="18"/>
                <w:szCs w:val="18"/>
                <w:lang w:val="en-US" w:eastAsia="zh-CN"/>
              </w:rPr>
              <w:t>Mengzhen</w:t>
            </w:r>
            <w:proofErr w:type="spellEnd"/>
            <w:r>
              <w:rPr>
                <w:rFonts w:asciiTheme="majorBidi" w:eastAsiaTheme="minorEastAsia" w:hAnsiTheme="majorBidi" w:cstheme="majorBidi" w:hint="eastAsia"/>
                <w:sz w:val="18"/>
                <w:szCs w:val="18"/>
                <w:lang w:val="en-US" w:eastAsia="zh-CN"/>
              </w:rPr>
              <w:t xml:space="preserve"> Li</w:t>
            </w:r>
          </w:p>
          <w:p w14:paraId="6315A580" w14:textId="77777777" w:rsidR="00B35DBC" w:rsidRDefault="00940FDB">
            <w:pPr>
              <w:spacing w:beforeLines="50" w:before="120" w:line="312"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hint="eastAsia"/>
                <w:sz w:val="18"/>
                <w:szCs w:val="18"/>
                <w:lang w:val="en-US" w:eastAsia="zh-CN"/>
              </w:rPr>
              <w:t>Wuhan University of Technology</w:t>
            </w:r>
            <w:r>
              <w:rPr>
                <w:rFonts w:asciiTheme="majorBidi" w:eastAsiaTheme="minorEastAsia" w:hAnsiTheme="majorBidi" w:cstheme="majorBidi"/>
                <w:sz w:val="18"/>
                <w:szCs w:val="18"/>
                <w:lang w:val="en-US" w:eastAsia="zh-CN"/>
              </w:rPr>
              <w:t>, China</w:t>
            </w:r>
          </w:p>
          <w:p w14:paraId="6315A581" w14:textId="77777777" w:rsidR="00B35DBC" w:rsidRDefault="00940FDB">
            <w:pPr>
              <w:spacing w:beforeLines="50" w:before="120" w:line="312"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sz w:val="18"/>
                <w:szCs w:val="18"/>
                <w:lang w:eastAsia="zh-CN"/>
              </w:rPr>
              <w:t>Email:</w:t>
            </w:r>
            <w:r>
              <w:rPr>
                <w:rFonts w:asciiTheme="majorBidi" w:eastAsiaTheme="minorEastAsia" w:hAnsiTheme="majorBidi" w:cstheme="majorBidi" w:hint="eastAsia"/>
                <w:sz w:val="18"/>
                <w:szCs w:val="18"/>
                <w:lang w:eastAsia="zh-CN"/>
              </w:rPr>
              <w:t xml:space="preserve"> </w:t>
            </w:r>
            <w:r>
              <w:rPr>
                <w:rFonts w:asciiTheme="majorBidi" w:eastAsiaTheme="minorEastAsia" w:hAnsiTheme="majorBidi" w:cstheme="majorBidi" w:hint="eastAsia"/>
                <w:sz w:val="18"/>
                <w:szCs w:val="18"/>
                <w:lang w:val="en-US" w:eastAsia="zh-CN"/>
              </w:rPr>
              <w:t>meng</w:t>
            </w:r>
            <w:r>
              <w:rPr>
                <w:rFonts w:asciiTheme="majorBidi" w:eastAsiaTheme="minorEastAsia" w:hAnsiTheme="majorBidi" w:cstheme="majorBidi" w:hint="eastAsia"/>
                <w:sz w:val="18"/>
                <w:szCs w:val="18"/>
                <w:lang w:eastAsia="zh-CN"/>
              </w:rPr>
              <w:t>zhen.li@whut.edu.cn</w:t>
            </w:r>
          </w:p>
        </w:tc>
        <w:tc>
          <w:tcPr>
            <w:tcW w:w="1250" w:type="pct"/>
          </w:tcPr>
          <w:p w14:paraId="6315A582" w14:textId="77777777" w:rsidR="00B35DBC" w:rsidRDefault="00940FDB">
            <w:pPr>
              <w:spacing w:beforeLines="50" w:before="120" w:line="312"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sz w:val="18"/>
                <w:szCs w:val="18"/>
                <w:lang w:val="en-US" w:eastAsia="zh-CN"/>
              </w:rPr>
              <w:t xml:space="preserve">Dr. </w:t>
            </w:r>
            <w:r>
              <w:rPr>
                <w:rFonts w:asciiTheme="majorBidi" w:eastAsiaTheme="minorEastAsia" w:hAnsiTheme="majorBidi" w:cstheme="majorBidi" w:hint="eastAsia"/>
                <w:sz w:val="18"/>
                <w:szCs w:val="18"/>
                <w:lang w:val="en-US" w:eastAsia="zh-CN"/>
              </w:rPr>
              <w:t>Yiheng</w:t>
            </w:r>
            <w:r>
              <w:rPr>
                <w:rFonts w:asciiTheme="majorBidi" w:eastAsiaTheme="minorEastAsia" w:hAnsiTheme="majorBidi" w:cstheme="majorBidi"/>
                <w:sz w:val="18"/>
                <w:szCs w:val="18"/>
                <w:lang w:val="en-US" w:eastAsia="zh-CN"/>
              </w:rPr>
              <w:t xml:space="preserve"> </w:t>
            </w:r>
            <w:r>
              <w:rPr>
                <w:rFonts w:asciiTheme="majorBidi" w:eastAsiaTheme="minorEastAsia" w:hAnsiTheme="majorBidi" w:cstheme="majorBidi" w:hint="eastAsia"/>
                <w:sz w:val="18"/>
                <w:szCs w:val="18"/>
                <w:lang w:val="en-US" w:eastAsia="zh-CN"/>
              </w:rPr>
              <w:t>Zhang</w:t>
            </w:r>
          </w:p>
          <w:p w14:paraId="6315A583" w14:textId="77777777" w:rsidR="00B35DBC" w:rsidRDefault="00940FDB">
            <w:pPr>
              <w:spacing w:beforeLines="50" w:before="120" w:line="312"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hint="eastAsia"/>
                <w:sz w:val="18"/>
                <w:szCs w:val="18"/>
                <w:lang w:val="en-US" w:eastAsia="zh-CN"/>
              </w:rPr>
              <w:t>Wuhan University of Technology</w:t>
            </w:r>
            <w:r>
              <w:rPr>
                <w:rFonts w:asciiTheme="majorBidi" w:eastAsiaTheme="minorEastAsia" w:hAnsiTheme="majorBidi" w:cstheme="majorBidi"/>
                <w:sz w:val="18"/>
                <w:szCs w:val="18"/>
                <w:lang w:val="en-US" w:eastAsia="zh-CN"/>
              </w:rPr>
              <w:t>, China</w:t>
            </w:r>
          </w:p>
          <w:p w14:paraId="6315A584" w14:textId="77777777" w:rsidR="00B35DBC" w:rsidRDefault="00940FDB">
            <w:pPr>
              <w:spacing w:beforeLines="50" w:before="120" w:line="312"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sz w:val="18"/>
                <w:szCs w:val="18"/>
                <w:lang w:val="en-US" w:eastAsia="zh-CN"/>
              </w:rPr>
              <w:t xml:space="preserve">Email: </w:t>
            </w:r>
            <w:r>
              <w:rPr>
                <w:rFonts w:asciiTheme="majorBidi" w:eastAsiaTheme="minorEastAsia" w:hAnsiTheme="majorBidi" w:cstheme="majorBidi" w:hint="eastAsia"/>
                <w:sz w:val="18"/>
                <w:szCs w:val="18"/>
                <w:lang w:val="en-US" w:eastAsia="zh-CN"/>
              </w:rPr>
              <w:t>zhangyiheng@whut.edu.cn</w:t>
            </w:r>
          </w:p>
        </w:tc>
        <w:tc>
          <w:tcPr>
            <w:tcW w:w="1250" w:type="pct"/>
          </w:tcPr>
          <w:p w14:paraId="6315A585" w14:textId="77777777" w:rsidR="00B35DBC" w:rsidRDefault="00940FDB">
            <w:pPr>
              <w:spacing w:beforeLines="50" w:before="120" w:line="312" w:lineRule="auto"/>
              <w:jc w:val="center"/>
              <w:rPr>
                <w:rFonts w:asciiTheme="majorBidi" w:eastAsiaTheme="minorEastAsia" w:hAnsiTheme="majorBidi" w:cstheme="majorBidi"/>
                <w:sz w:val="18"/>
                <w:szCs w:val="18"/>
                <w:shd w:val="clear" w:color="auto" w:fill="FCFCFC"/>
                <w:lang w:val="en-US" w:eastAsia="zh-CN"/>
              </w:rPr>
            </w:pPr>
            <w:r>
              <w:rPr>
                <w:rFonts w:asciiTheme="majorBidi" w:eastAsiaTheme="minorEastAsia" w:hAnsiTheme="majorBidi" w:cstheme="majorBidi" w:hint="eastAsia"/>
                <w:sz w:val="18"/>
                <w:szCs w:val="18"/>
                <w:shd w:val="clear" w:color="auto" w:fill="FCFCFC"/>
                <w:lang w:val="en-US" w:eastAsia="zh-CN"/>
              </w:rPr>
              <w:t>Dr. Ying Tang</w:t>
            </w:r>
          </w:p>
          <w:p w14:paraId="6315A586" w14:textId="77777777" w:rsidR="00B35DBC" w:rsidRDefault="00940FDB">
            <w:pPr>
              <w:spacing w:beforeLines="50" w:before="120" w:line="312"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sz w:val="18"/>
                <w:szCs w:val="18"/>
                <w:shd w:val="clear" w:color="auto" w:fill="FCFCFC"/>
                <w:lang w:val="en-US" w:eastAsia="zh-CN"/>
              </w:rPr>
              <w:t>Naval University of Engineering</w:t>
            </w:r>
            <w:r>
              <w:rPr>
                <w:rFonts w:asciiTheme="majorBidi" w:eastAsiaTheme="minorEastAsia" w:hAnsiTheme="majorBidi" w:cstheme="majorBidi"/>
                <w:sz w:val="18"/>
                <w:szCs w:val="18"/>
                <w:lang w:val="en-US" w:eastAsia="zh-CN"/>
              </w:rPr>
              <w:t>, China</w:t>
            </w:r>
          </w:p>
          <w:p w14:paraId="6315A587" w14:textId="77777777" w:rsidR="00B35DBC" w:rsidRDefault="00940FDB">
            <w:pPr>
              <w:spacing w:beforeLines="50" w:before="120" w:line="312" w:lineRule="auto"/>
              <w:jc w:val="center"/>
              <w:rPr>
                <w:rFonts w:asciiTheme="majorBidi" w:eastAsiaTheme="minorEastAsia" w:hAnsiTheme="majorBidi" w:cstheme="majorBidi"/>
                <w:sz w:val="18"/>
                <w:szCs w:val="18"/>
                <w:lang w:val="en-US" w:eastAsia="zh-CN"/>
              </w:rPr>
            </w:pPr>
            <w:r>
              <w:rPr>
                <w:rFonts w:asciiTheme="majorBidi" w:eastAsiaTheme="minorEastAsia" w:hAnsiTheme="majorBidi" w:cstheme="majorBidi"/>
                <w:sz w:val="18"/>
                <w:szCs w:val="18"/>
                <w:lang w:val="en-US" w:eastAsia="zh-CN"/>
              </w:rPr>
              <w:t xml:space="preserve">Email: </w:t>
            </w:r>
            <w:r>
              <w:rPr>
                <w:rFonts w:asciiTheme="majorBidi" w:eastAsiaTheme="minorEastAsia" w:hAnsiTheme="majorBidi" w:cstheme="majorBidi" w:hint="eastAsia"/>
                <w:sz w:val="18"/>
                <w:szCs w:val="18"/>
                <w:lang w:val="en-US" w:eastAsia="zh-CN"/>
              </w:rPr>
              <w:t>2320236082@nue.edu.cn</w:t>
            </w:r>
          </w:p>
          <w:p w14:paraId="6315A588" w14:textId="77777777" w:rsidR="00B35DBC" w:rsidRDefault="00B35DBC">
            <w:pPr>
              <w:spacing w:beforeLines="50" w:before="120" w:line="312" w:lineRule="auto"/>
              <w:jc w:val="center"/>
              <w:rPr>
                <w:rFonts w:asciiTheme="majorBidi" w:eastAsiaTheme="minorEastAsia" w:hAnsiTheme="majorBidi" w:cstheme="majorBidi"/>
                <w:sz w:val="18"/>
                <w:szCs w:val="18"/>
                <w:shd w:val="clear" w:color="auto" w:fill="FCFCFC"/>
                <w:lang w:val="en-US" w:eastAsia="zh-CN"/>
              </w:rPr>
            </w:pPr>
          </w:p>
        </w:tc>
      </w:tr>
    </w:tbl>
    <w:p w14:paraId="6315A58A" w14:textId="77777777" w:rsidR="00B35DBC" w:rsidRDefault="00B35DBC">
      <w:pPr>
        <w:rPr>
          <w:sz w:val="22"/>
          <w:szCs w:val="22"/>
        </w:rPr>
      </w:pPr>
    </w:p>
    <w:p w14:paraId="6315A58B" w14:textId="77777777" w:rsidR="00B35DBC" w:rsidRDefault="00B35DBC">
      <w:pPr>
        <w:rPr>
          <w:sz w:val="22"/>
          <w:szCs w:val="22"/>
        </w:rPr>
      </w:pPr>
    </w:p>
    <w:p w14:paraId="6315A58C" w14:textId="77777777" w:rsidR="00B35DBC" w:rsidRDefault="00B35DBC">
      <w:pPr>
        <w:rPr>
          <w:sz w:val="22"/>
          <w:szCs w:val="22"/>
        </w:rPr>
      </w:pPr>
    </w:p>
    <w:sectPr w:rsidR="00B35DBC">
      <w:headerReference w:type="default" r:id="rId11"/>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A597" w14:textId="77777777" w:rsidR="00B35DBC" w:rsidRDefault="00940FDB">
      <w:r>
        <w:separator/>
      </w:r>
    </w:p>
  </w:endnote>
  <w:endnote w:type="continuationSeparator" w:id="0">
    <w:p w14:paraId="6315A598" w14:textId="77777777" w:rsidR="00B35DBC" w:rsidRDefault="0094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5A595" w14:textId="77777777" w:rsidR="00B35DBC" w:rsidRDefault="00940FDB">
      <w:r>
        <w:separator/>
      </w:r>
    </w:p>
  </w:footnote>
  <w:footnote w:type="continuationSeparator" w:id="0">
    <w:p w14:paraId="6315A596" w14:textId="77777777" w:rsidR="00B35DBC" w:rsidRDefault="00940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A599" w14:textId="77777777" w:rsidR="00B35DBC" w:rsidRDefault="00940FDB">
    <w:pPr>
      <w:pStyle w:val="Header"/>
    </w:pPr>
    <w:r>
      <w:t>1</w:t>
    </w:r>
    <w:r>
      <w:rPr>
        <w:noProof/>
      </w:rPr>
      <w:drawing>
        <wp:inline distT="0" distB="0" distL="0" distR="0" wp14:anchorId="6315A59A" wp14:editId="6315A59B">
          <wp:extent cx="814070" cy="307340"/>
          <wp:effectExtent l="0" t="0" r="508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39753" cy="316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1480B"/>
    <w:multiLevelType w:val="multilevel"/>
    <w:tmpl w:val="55A148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639992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hideSpellingErrors/>
  <w:hideGrammatical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2szA0Njc3tDSxNDRV0lEKTi0uzszPAykwrgUAoyuzqiwAAAA="/>
  </w:docVars>
  <w:rsids>
    <w:rsidRoot w:val="00EA24FB"/>
    <w:rsid w:val="00001456"/>
    <w:rsid w:val="000643D0"/>
    <w:rsid w:val="000935DB"/>
    <w:rsid w:val="000D798A"/>
    <w:rsid w:val="0013684B"/>
    <w:rsid w:val="00193B57"/>
    <w:rsid w:val="001F075B"/>
    <w:rsid w:val="00223B05"/>
    <w:rsid w:val="00225726"/>
    <w:rsid w:val="00226210"/>
    <w:rsid w:val="002660FC"/>
    <w:rsid w:val="002D2C7A"/>
    <w:rsid w:val="002E321C"/>
    <w:rsid w:val="002E5C5C"/>
    <w:rsid w:val="00303CED"/>
    <w:rsid w:val="003C715D"/>
    <w:rsid w:val="003D31BE"/>
    <w:rsid w:val="0041710A"/>
    <w:rsid w:val="00442E8C"/>
    <w:rsid w:val="00455A5E"/>
    <w:rsid w:val="004945DD"/>
    <w:rsid w:val="004D6AFC"/>
    <w:rsid w:val="0052178D"/>
    <w:rsid w:val="00595E67"/>
    <w:rsid w:val="005A02D2"/>
    <w:rsid w:val="005C41DA"/>
    <w:rsid w:val="005E6377"/>
    <w:rsid w:val="0060483E"/>
    <w:rsid w:val="00604D6D"/>
    <w:rsid w:val="0062445F"/>
    <w:rsid w:val="0063498F"/>
    <w:rsid w:val="006E29A2"/>
    <w:rsid w:val="0073224A"/>
    <w:rsid w:val="00743C6A"/>
    <w:rsid w:val="00760ECB"/>
    <w:rsid w:val="007C5770"/>
    <w:rsid w:val="007F787B"/>
    <w:rsid w:val="00846B0A"/>
    <w:rsid w:val="00851F8B"/>
    <w:rsid w:val="008B3932"/>
    <w:rsid w:val="008B614F"/>
    <w:rsid w:val="008D1A56"/>
    <w:rsid w:val="008E2173"/>
    <w:rsid w:val="0093201E"/>
    <w:rsid w:val="00940FDB"/>
    <w:rsid w:val="009F59FB"/>
    <w:rsid w:val="00A07DDF"/>
    <w:rsid w:val="00A20F12"/>
    <w:rsid w:val="00A71BD5"/>
    <w:rsid w:val="00AA5D97"/>
    <w:rsid w:val="00AF18C5"/>
    <w:rsid w:val="00B35DBC"/>
    <w:rsid w:val="00B54129"/>
    <w:rsid w:val="00B7262F"/>
    <w:rsid w:val="00BB0FD4"/>
    <w:rsid w:val="00BE7ABD"/>
    <w:rsid w:val="00C0222B"/>
    <w:rsid w:val="00C175B3"/>
    <w:rsid w:val="00C30ED3"/>
    <w:rsid w:val="00C51D4F"/>
    <w:rsid w:val="00C5760C"/>
    <w:rsid w:val="00D05FBB"/>
    <w:rsid w:val="00D1004E"/>
    <w:rsid w:val="00D2539F"/>
    <w:rsid w:val="00D6168E"/>
    <w:rsid w:val="00D70FF3"/>
    <w:rsid w:val="00D84883"/>
    <w:rsid w:val="00E12C5E"/>
    <w:rsid w:val="00E12DCE"/>
    <w:rsid w:val="00E14A40"/>
    <w:rsid w:val="00E46959"/>
    <w:rsid w:val="00E70CC0"/>
    <w:rsid w:val="00E82BBB"/>
    <w:rsid w:val="00EA24FB"/>
    <w:rsid w:val="00EE5A14"/>
    <w:rsid w:val="00F22209"/>
    <w:rsid w:val="00F4433E"/>
    <w:rsid w:val="00F62391"/>
    <w:rsid w:val="00F801CB"/>
    <w:rsid w:val="00F8514D"/>
    <w:rsid w:val="00F85AE7"/>
    <w:rsid w:val="00F95574"/>
    <w:rsid w:val="00FB0C95"/>
    <w:rsid w:val="00FC278F"/>
    <w:rsid w:val="07942430"/>
    <w:rsid w:val="178B6D3E"/>
    <w:rsid w:val="3B3140E6"/>
    <w:rsid w:val="3C245D3E"/>
    <w:rsid w:val="57550741"/>
    <w:rsid w:val="6DE93094"/>
    <w:rsid w:val="7AC3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5A565"/>
  <w15:docId w15:val="{FB1B2375-1741-43D5-9D19-AED31B59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CA" w:eastAsia="en-GB"/>
    </w:rPr>
  </w:style>
  <w:style w:type="paragraph" w:styleId="Heading1">
    <w:name w:val="heading 1"/>
    <w:basedOn w:val="Normal"/>
    <w:next w:val="Normal"/>
    <w:link w:val="Heading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rPr>
      <w:sz w:val="24"/>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rFonts w:ascii="Times New Roman" w:eastAsia="Times New Roman" w:hAnsi="Times New Roman" w:cs="Times New Roman"/>
      <w:kern w:val="0"/>
      <w:sz w:val="18"/>
      <w:szCs w:val="18"/>
      <w:lang w:val="en-CA" w:eastAsia="en-GB"/>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18"/>
      <w:szCs w:val="18"/>
      <w:lang w:val="en-CA"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389</Words>
  <Characters>2797</Characters>
  <Application>Microsoft Office Word</Application>
  <DocSecurity>0</DocSecurity>
  <Lines>60</Lines>
  <Paragraphs>33</Paragraphs>
  <ScaleCrop>false</ScaleCrop>
  <Company>Liverpool John Moores University</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Zifei Xu</dc:creator>
  <cp:lastModifiedBy>Li, He</cp:lastModifiedBy>
  <cp:revision>49</cp:revision>
  <dcterms:created xsi:type="dcterms:W3CDTF">2025-04-03T14:25:00Z</dcterms:created>
  <dcterms:modified xsi:type="dcterms:W3CDTF">2026-03-17T09:41:00Z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eyJoZGlkIjoiYTZiODJjMjA2NThiOWI3ODlkODQyODY0YzYwNWM4NDUiLCJ1c2VySWQiOiI3MTE2MjAzNTgifQ==</vt:lpwstr>
  </property>
  <property fmtid="{D5CDD505-2E9C-101B-9397-08002B2CF9AE}" pid="3" name="KSOProductBuildVer">
    <vt:lpwstr>2052-12.1.0.25225</vt:lpwstr>
  </property>
  <property fmtid="{D5CDD505-2E9C-101B-9397-08002B2CF9AE}" pid="4" name="ICV">
    <vt:lpwstr>B9D37D1BCBBB4CC793498B98511F6304_13</vt:lpwstr>
  </property>
</Properties>
</file>