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61229">
      <w:pPr>
        <w:spacing w:before="240" w:beforeLines="100" w:line="288" w:lineRule="auto"/>
        <w:jc w:val="center"/>
        <w:rPr>
          <w:rFonts w:hint="default" w:eastAsiaTheme="minorEastAsia"/>
          <w:b/>
          <w:bCs/>
          <w:color w:val="FF0000"/>
          <w:sz w:val="32"/>
          <w:szCs w:val="32"/>
          <w:lang w:val="en-US" w:eastAsia="zh-CN"/>
        </w:rPr>
      </w:pPr>
      <w:r>
        <w:rPr>
          <w:rFonts w:eastAsiaTheme="minorEastAsia"/>
          <w:b/>
          <w:bCs/>
          <w:color w:val="FF0000"/>
          <w:sz w:val="32"/>
          <w:szCs w:val="32"/>
          <w:lang w:eastAsia="zh-CN"/>
        </w:rPr>
        <w:t>The 1</w:t>
      </w:r>
      <w:r>
        <w:rPr>
          <w:rFonts w:hint="eastAsia" w:eastAsiaTheme="minorEastAsia"/>
          <w:b/>
          <w:bCs/>
          <w:color w:val="FF0000"/>
          <w:sz w:val="32"/>
          <w:szCs w:val="32"/>
          <w:lang w:val="en-US" w:eastAsia="zh-CN"/>
        </w:rPr>
        <w:t>5</w:t>
      </w:r>
      <w:r>
        <w:rPr>
          <w:rFonts w:eastAsiaTheme="minorEastAsia"/>
          <w:b/>
          <w:bCs/>
          <w:color w:val="FF0000"/>
          <w:sz w:val="32"/>
          <w:szCs w:val="32"/>
          <w:lang w:eastAsia="zh-CN"/>
        </w:rPr>
        <w:t>th International Conference on Quality, Reliability, Risk, Maintenance, and Safety Engineering (QR2MSE202</w:t>
      </w:r>
      <w:r>
        <w:rPr>
          <w:rFonts w:hint="eastAsia" w:eastAsiaTheme="minorEastAsia"/>
          <w:b/>
          <w:bCs/>
          <w:color w:val="FF0000"/>
          <w:sz w:val="32"/>
          <w:szCs w:val="32"/>
          <w:lang w:val="en-US" w:eastAsia="zh-CN"/>
        </w:rPr>
        <w:t>5</w:t>
      </w:r>
      <w:r>
        <w:rPr>
          <w:rFonts w:eastAsiaTheme="minorEastAsia"/>
          <w:b/>
          <w:bCs/>
          <w:color w:val="FF0000"/>
          <w:sz w:val="32"/>
          <w:szCs w:val="32"/>
          <w:lang w:eastAsia="zh-CN"/>
        </w:rPr>
        <w:t>)</w:t>
      </w:r>
      <w:r>
        <w:rPr>
          <w:rFonts w:hint="eastAsia" w:eastAsiaTheme="minorEastAsia"/>
          <w:b/>
          <w:bCs/>
          <w:color w:val="FF0000"/>
          <w:sz w:val="32"/>
          <w:szCs w:val="32"/>
          <w:lang w:val="en-US" w:eastAsia="zh-CN"/>
        </w:rPr>
        <w:t xml:space="preserve"> &amp; International Conference on Materials and Reliability (ICMR2025)</w:t>
      </w:r>
    </w:p>
    <w:p w14:paraId="45C36392">
      <w:pPr>
        <w:spacing w:before="120" w:beforeLines="50" w:line="360" w:lineRule="auto"/>
        <w:jc w:val="center"/>
        <w:rPr>
          <w:rFonts w:eastAsiaTheme="minorEastAsia"/>
          <w:b/>
          <w:bCs/>
          <w:color w:val="0070C0"/>
          <w:sz w:val="28"/>
          <w:szCs w:val="28"/>
          <w:lang w:eastAsia="zh-CN"/>
        </w:rPr>
      </w:pPr>
      <w:r>
        <w:rPr>
          <w:rFonts w:eastAsiaTheme="minorEastAsia"/>
          <w:b/>
          <w:bCs/>
          <w:color w:val="0070C0"/>
          <w:sz w:val="28"/>
          <w:szCs w:val="28"/>
          <w:lang w:eastAsia="zh-CN"/>
        </w:rPr>
        <w:t>July 2</w:t>
      </w:r>
      <w:r>
        <w:rPr>
          <w:rFonts w:hint="eastAsia" w:eastAsiaTheme="minorEastAsia"/>
          <w:b/>
          <w:bCs/>
          <w:color w:val="0070C0"/>
          <w:sz w:val="28"/>
          <w:szCs w:val="28"/>
          <w:lang w:val="en-US" w:eastAsia="zh-CN"/>
        </w:rPr>
        <w:t>3</w:t>
      </w:r>
      <w:r>
        <w:rPr>
          <w:rFonts w:eastAsiaTheme="minorEastAsia"/>
          <w:b/>
          <w:bCs/>
          <w:color w:val="0070C0"/>
          <w:sz w:val="28"/>
          <w:szCs w:val="28"/>
          <w:lang w:eastAsia="zh-CN"/>
        </w:rPr>
        <w:t>-2</w:t>
      </w:r>
      <w:r>
        <w:rPr>
          <w:rFonts w:hint="eastAsia" w:eastAsiaTheme="minorEastAsia"/>
          <w:b/>
          <w:bCs/>
          <w:color w:val="0070C0"/>
          <w:sz w:val="28"/>
          <w:szCs w:val="28"/>
          <w:lang w:val="en-US" w:eastAsia="zh-CN"/>
        </w:rPr>
        <w:t>6</w:t>
      </w:r>
      <w:r>
        <w:rPr>
          <w:rFonts w:eastAsiaTheme="minorEastAsia"/>
          <w:b/>
          <w:bCs/>
          <w:color w:val="0070C0"/>
          <w:sz w:val="28"/>
          <w:szCs w:val="28"/>
          <w:lang w:eastAsia="zh-CN"/>
        </w:rPr>
        <w:t>, 202</w:t>
      </w:r>
      <w:r>
        <w:rPr>
          <w:rFonts w:hint="eastAsia" w:eastAsiaTheme="minorEastAsia"/>
          <w:b/>
          <w:bCs/>
          <w:color w:val="0070C0"/>
          <w:sz w:val="28"/>
          <w:szCs w:val="28"/>
          <w:lang w:val="en-US" w:eastAsia="zh-CN"/>
        </w:rPr>
        <w:t>5</w:t>
      </w:r>
      <w:r>
        <w:rPr>
          <w:rFonts w:eastAsiaTheme="minorEastAsia"/>
          <w:b/>
          <w:bCs/>
          <w:color w:val="0070C0"/>
          <w:sz w:val="28"/>
          <w:szCs w:val="28"/>
          <w:lang w:eastAsia="zh-CN"/>
        </w:rPr>
        <w:t xml:space="preserve">, </w:t>
      </w:r>
      <w:r>
        <w:rPr>
          <w:rFonts w:hint="eastAsia" w:eastAsiaTheme="minorEastAsia"/>
          <w:b/>
          <w:bCs/>
          <w:color w:val="0070C0"/>
          <w:sz w:val="28"/>
          <w:szCs w:val="28"/>
          <w:lang w:eastAsia="zh-CN"/>
        </w:rPr>
        <w:t>Hohhot</w:t>
      </w:r>
      <w:r>
        <w:rPr>
          <w:rFonts w:eastAsiaTheme="minorEastAsia"/>
          <w:b/>
          <w:bCs/>
          <w:color w:val="0070C0"/>
          <w:sz w:val="28"/>
          <w:szCs w:val="28"/>
          <w:lang w:eastAsia="zh-CN"/>
        </w:rPr>
        <w:t xml:space="preserve">, </w:t>
      </w:r>
      <w:r>
        <w:rPr>
          <w:rFonts w:hint="eastAsia" w:eastAsiaTheme="minorEastAsia"/>
          <w:b/>
          <w:bCs/>
          <w:color w:val="0070C0"/>
          <w:sz w:val="28"/>
          <w:szCs w:val="28"/>
          <w:lang w:val="en-US" w:eastAsia="zh-CN"/>
        </w:rPr>
        <w:t>Neimenggu</w:t>
      </w:r>
      <w:r>
        <w:rPr>
          <w:rFonts w:eastAsiaTheme="minorEastAsia"/>
          <w:b/>
          <w:bCs/>
          <w:color w:val="0070C0"/>
          <w:sz w:val="28"/>
          <w:szCs w:val="28"/>
          <w:lang w:eastAsia="zh-CN"/>
        </w:rPr>
        <w:t>, China</w:t>
      </w:r>
    </w:p>
    <w:p w14:paraId="73CFA61D">
      <w:pPr>
        <w:spacing w:before="120" w:beforeLines="50" w:after="120" w:afterLines="50" w:line="360" w:lineRule="auto"/>
        <w:jc w:val="center"/>
        <w:rPr>
          <w:rFonts w:eastAsiaTheme="minorEastAsia"/>
          <w:b/>
          <w:bCs/>
          <w:color w:val="000000" w:themeColor="text1"/>
          <w:sz w:val="28"/>
          <w:szCs w:val="28"/>
          <w:lang w:eastAsia="zh-CN"/>
          <w14:textFill>
            <w14:solidFill>
              <w14:schemeClr w14:val="tx1"/>
            </w14:solidFill>
          </w14:textFill>
        </w:rPr>
      </w:pPr>
      <w:r>
        <w:rPr>
          <w:rFonts w:eastAsiaTheme="minorEastAsia"/>
          <w:b/>
          <w:bCs/>
          <w:color w:val="000000" w:themeColor="text1"/>
          <w:sz w:val="28"/>
          <w:szCs w:val="28"/>
          <w:lang w:eastAsia="zh-CN"/>
          <w14:textFill>
            <w14:solidFill>
              <w14:schemeClr w14:val="tx1"/>
            </w14:solidFill>
          </w14:textFill>
        </w:rPr>
        <w:t xml:space="preserve">Special Session on: </w:t>
      </w:r>
    </w:p>
    <w:p w14:paraId="57F60F0C">
      <w:pPr>
        <w:spacing w:before="120" w:beforeLines="50" w:after="120" w:afterLines="50" w:line="360" w:lineRule="auto"/>
        <w:jc w:val="center"/>
        <w:rPr>
          <w:rFonts w:hint="default" w:eastAsiaTheme="minorEastAsia"/>
          <w:b/>
          <w:bCs/>
          <w:color w:val="000000" w:themeColor="text1"/>
          <w:sz w:val="28"/>
          <w:szCs w:val="28"/>
          <w:lang w:val="en-US" w:eastAsia="zh-CN"/>
          <w14:textFill>
            <w14:solidFill>
              <w14:schemeClr w14:val="tx1"/>
            </w14:solidFill>
          </w14:textFill>
        </w:rPr>
      </w:pPr>
      <w:r>
        <w:rPr>
          <w:rFonts w:eastAsiaTheme="minorEastAsia"/>
          <w:b/>
          <w:bCs/>
          <w:color w:val="000000" w:themeColor="text1"/>
          <w:sz w:val="28"/>
          <w:szCs w:val="28"/>
          <w:lang w:eastAsia="zh-CN"/>
          <w14:textFill>
            <w14:solidFill>
              <w14:schemeClr w14:val="tx1"/>
            </w14:solidFill>
          </w14:textFill>
        </w:rPr>
        <w:t>Reli</w:t>
      </w:r>
      <w:r>
        <w:rPr>
          <w:rFonts w:hint="eastAsia" w:eastAsiaTheme="minorEastAsia"/>
          <w:b/>
          <w:bCs/>
          <w:color w:val="000000" w:themeColor="text1"/>
          <w:sz w:val="28"/>
          <w:szCs w:val="28"/>
          <w:lang w:eastAsia="zh-CN"/>
          <w14:textFill>
            <w14:solidFill>
              <w14:schemeClr w14:val="tx1"/>
            </w14:solidFill>
          </w14:textFill>
        </w:rPr>
        <w:t>a</w:t>
      </w:r>
      <w:r>
        <w:rPr>
          <w:rFonts w:eastAsiaTheme="minorEastAsia"/>
          <w:b/>
          <w:bCs/>
          <w:color w:val="000000" w:themeColor="text1"/>
          <w:sz w:val="28"/>
          <w:szCs w:val="28"/>
          <w:lang w:eastAsia="zh-CN"/>
          <w14:textFill>
            <w14:solidFill>
              <w14:schemeClr w14:val="tx1"/>
            </w14:solidFill>
          </w14:textFill>
        </w:rPr>
        <w:t xml:space="preserve">bility Assessment </w:t>
      </w:r>
      <w:r>
        <w:rPr>
          <w:rFonts w:hint="eastAsia" w:eastAsiaTheme="minorEastAsia"/>
          <w:b/>
          <w:bCs/>
          <w:color w:val="000000" w:themeColor="text1"/>
          <w:sz w:val="28"/>
          <w:szCs w:val="28"/>
          <w:lang w:val="en-US" w:eastAsia="zh-CN"/>
          <w14:textFill>
            <w14:solidFill>
              <w14:schemeClr w14:val="tx1"/>
            </w14:solidFill>
          </w14:textFill>
        </w:rPr>
        <w:t xml:space="preserve">and Design </w:t>
      </w:r>
      <w:r>
        <w:rPr>
          <w:rFonts w:eastAsiaTheme="minorEastAsia"/>
          <w:b/>
          <w:bCs/>
          <w:color w:val="000000" w:themeColor="text1"/>
          <w:sz w:val="28"/>
          <w:szCs w:val="28"/>
          <w:lang w:eastAsia="zh-CN"/>
          <w14:textFill>
            <w14:solidFill>
              <w14:schemeClr w14:val="tx1"/>
            </w14:solidFill>
          </w14:textFill>
        </w:rPr>
        <w:t xml:space="preserve">of </w:t>
      </w:r>
      <w:r>
        <w:rPr>
          <w:rFonts w:hint="eastAsia" w:eastAsiaTheme="minorEastAsia"/>
          <w:b/>
          <w:bCs/>
          <w:color w:val="000000" w:themeColor="text1"/>
          <w:sz w:val="28"/>
          <w:szCs w:val="28"/>
          <w:lang w:val="en-US" w:eastAsia="zh-CN"/>
          <w14:textFill>
            <w14:solidFill>
              <w14:schemeClr w14:val="tx1"/>
            </w14:solidFill>
          </w14:textFill>
        </w:rPr>
        <w:t>Complex Equipment</w:t>
      </w:r>
    </w:p>
    <w:p w14:paraId="627A13D6">
      <w:pPr>
        <w:pStyle w:val="9"/>
        <w:keepNext w:val="0"/>
        <w:keepLines w:val="0"/>
        <w:pageBreakBefore w:val="0"/>
        <w:widowControl/>
        <w:kinsoku/>
        <w:wordWrap/>
        <w:overflowPunct/>
        <w:topLinePunct w:val="0"/>
        <w:autoSpaceDE/>
        <w:autoSpaceDN/>
        <w:bidi w:val="0"/>
        <w:adjustRightInd/>
        <w:snapToGrid/>
        <w:spacing w:before="181" w:beforeLines="50" w:line="360" w:lineRule="auto"/>
        <w:jc w:val="both"/>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As modern manufacturing upgrades towards high-end and autonomous development, high-end equipment is characterized by increasingly complex structures and more extreme service conditions. Simultaneously, it faces unprecedented demands for stringent safety standards and energy efficiency/environmental protection metrics. These combined factors have significantly increased the risk of system failure, making reliability a core bottleneck currently constraining the R&amp;D and industrial application of high-end equipment.</w:t>
      </w:r>
      <w:r>
        <w:rPr>
          <w:rFonts w:hint="eastAsia" w:cs="Times New Roman" w:eastAsiaTheme="minorEastAsia"/>
          <w:sz w:val="22"/>
          <w:szCs w:val="22"/>
          <w:lang w:val="en-US" w:eastAsia="zh-CN"/>
        </w:rPr>
        <w:t xml:space="preserve"> </w:t>
      </w:r>
      <w:r>
        <w:rPr>
          <w:rFonts w:hint="default" w:ascii="Times New Roman" w:hAnsi="Times New Roman" w:cs="Times New Roman" w:eastAsiaTheme="minorEastAsia"/>
          <w:sz w:val="22"/>
          <w:szCs w:val="22"/>
          <w:lang w:val="en-US" w:eastAsia="zh-CN"/>
        </w:rPr>
        <w:t>Facing these challenges, reliability assessment and design for complex equipment has evolved significantly in both importance and purpose. It has transitioned from being primarily focused on basic "availability assurance" to becoming a crucial factor that determines the performance and competitiveness of high-end equipment systems.</w:t>
      </w:r>
    </w:p>
    <w:p w14:paraId="6466FA24">
      <w:pPr>
        <w:pStyle w:val="9"/>
        <w:keepNext w:val="0"/>
        <w:keepLines w:val="0"/>
        <w:pageBreakBefore w:val="0"/>
        <w:widowControl/>
        <w:kinsoku/>
        <w:wordWrap/>
        <w:overflowPunct/>
        <w:topLinePunct w:val="0"/>
        <w:autoSpaceDE/>
        <w:autoSpaceDN/>
        <w:bidi w:val="0"/>
        <w:adjustRightInd/>
        <w:snapToGrid/>
        <w:spacing w:before="181" w:beforeLines="50" w:line="360" w:lineRule="auto"/>
        <w:jc w:val="both"/>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The achievement of high reliability in equipment is fundamentally constrained by multiple sources of uncertainty. These uncertainties are pervasive across multiple stages, including material property variations, stochastic changes in load and environmental conditions, and manufacturing/assembly deviations. More critically, the coupling effects of these multi-source uncertainties often result in unpredictable, significant fluctuations in structural or product performance, and even functional failures. Precisely quantifying, deeply analyzing, and efficiently optimizing designs against these complex uncertainties represent crucial pathways towards ensuring stable product performance and reliable service life. This imperative is not only key to tackling practical engineering challenges but also represents a major research direction and academic frontier in the field of mechanical design.​</w:t>
      </w:r>
    </w:p>
    <w:p w14:paraId="7D637862">
      <w:pPr>
        <w:pStyle w:val="9"/>
        <w:keepNext w:val="0"/>
        <w:keepLines w:val="0"/>
        <w:pageBreakBefore w:val="0"/>
        <w:widowControl/>
        <w:kinsoku/>
        <w:wordWrap/>
        <w:overflowPunct/>
        <w:topLinePunct w:val="0"/>
        <w:autoSpaceDE/>
        <w:autoSpaceDN/>
        <w:bidi w:val="0"/>
        <w:adjustRightInd/>
        <w:snapToGrid/>
        <w:spacing w:before="181" w:beforeLines="50" w:line="360" w:lineRule="auto"/>
        <w:jc w:val="both"/>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val="en-US" w:eastAsia="zh-CN"/>
        </w:rPr>
        <w:t>This session aims to focus discussions on reliability analysis and design for complex equipment. By facilitating the exchange of the latest research findings and practical engineering applications, we seek to create an open platform for in-depth exchanges and collaborative opportunities among researchers and practitioners</w:t>
      </w:r>
      <w:bookmarkStart w:id="0" w:name="_GoBack"/>
      <w:bookmarkEnd w:id="0"/>
    </w:p>
    <w:tbl>
      <w:tblPr>
        <w:tblStyle w:val="5"/>
        <w:tblW w:w="5000" w:type="pct"/>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193"/>
        <w:gridCol w:w="3327"/>
        <w:gridCol w:w="3496"/>
      </w:tblGrid>
      <w:tr w14:paraId="2D61379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03" w:type="pct"/>
          </w:tcPr>
          <w:p w14:paraId="54B918DC">
            <w:pPr>
              <w:spacing w:before="120" w:beforeLines="50"/>
              <w:jc w:val="center"/>
              <w:rPr>
                <w:rFonts w:asciiTheme="majorBidi" w:hAnsiTheme="majorBidi" w:cstheme="majorBidi"/>
                <w:color w:val="000000" w:themeColor="text1"/>
                <w:sz w:val="20"/>
                <w:szCs w:val="20"/>
                <w:shd w:val="clear" w:color="auto" w:fill="FCFCFC"/>
                <w14:textFill>
                  <w14:solidFill>
                    <w14:schemeClr w14:val="tx1"/>
                  </w14:solidFill>
                </w14:textFill>
              </w:rPr>
            </w:pPr>
            <w:r>
              <w:rPr>
                <w:rFonts w:asciiTheme="majorBidi" w:hAnsiTheme="majorBidi" w:cstheme="majorBidi"/>
                <w:color w:val="000000" w:themeColor="text1"/>
                <w:sz w:val="20"/>
                <w:szCs w:val="20"/>
                <w:shd w:val="clear" w:color="auto" w:fill="FCFCFC"/>
                <w14:textFill>
                  <w14:solidFill>
                    <w14:schemeClr w14:val="tx1"/>
                  </w14:solidFill>
                </w14:textFill>
              </w:rPr>
              <w:drawing>
                <wp:inline distT="0" distB="0" distL="0" distR="0">
                  <wp:extent cx="568960" cy="668655"/>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l="10226" t="5654" r="6512" b="18585"/>
                          <a:stretch>
                            <a:fillRect/>
                          </a:stretch>
                        </pic:blipFill>
                        <pic:spPr>
                          <a:xfrm>
                            <a:off x="0" y="0"/>
                            <a:ext cx="583105" cy="685403"/>
                          </a:xfrm>
                          <a:prstGeom prst="rect">
                            <a:avLst/>
                          </a:prstGeom>
                          <a:noFill/>
                          <a:ln>
                            <a:noFill/>
                          </a:ln>
                        </pic:spPr>
                      </pic:pic>
                    </a:graphicData>
                  </a:graphic>
                </wp:inline>
              </w:drawing>
            </w:r>
          </w:p>
          <w:p w14:paraId="0850C946">
            <w:pPr>
              <w:spacing w:before="240" w:beforeLines="100"/>
              <w:jc w:val="center"/>
              <w:rPr>
                <w:rFonts w:asciiTheme="majorBidi" w:hAnsiTheme="majorBidi" w:cstheme="majorBidi"/>
                <w:color w:val="000000" w:themeColor="text1"/>
                <w:sz w:val="20"/>
                <w:szCs w:val="20"/>
                <w:shd w:val="clear" w:color="auto" w:fill="FCFCFC"/>
                <w14:textFill>
                  <w14:solidFill>
                    <w14:schemeClr w14:val="tx1"/>
                  </w14:solidFill>
                </w14:textFill>
              </w:rPr>
            </w:pPr>
            <w:r>
              <w:rPr>
                <w:rFonts w:asciiTheme="majorBidi" w:hAnsiTheme="majorBidi" w:cstheme="majorBidi"/>
                <w:color w:val="000000" w:themeColor="text1"/>
                <w:sz w:val="20"/>
                <w:szCs w:val="20"/>
                <w:shd w:val="clear" w:color="auto" w:fill="FCFCFC"/>
                <w14:textFill>
                  <w14:solidFill>
                    <w14:schemeClr w14:val="tx1"/>
                  </w14:solidFill>
                </w14:textFill>
              </w:rPr>
              <w:t>Dr. Zhe Zhang</w:t>
            </w:r>
          </w:p>
          <w:p w14:paraId="57846C1A">
            <w:pPr>
              <w:spacing w:before="120" w:beforeLines="50"/>
              <w:jc w:val="center"/>
              <w:rPr>
                <w:rFonts w:asciiTheme="majorBidi" w:hAnsiTheme="majorBidi" w:cstheme="majorBidi"/>
                <w:color w:val="000000" w:themeColor="text1"/>
                <w:sz w:val="20"/>
                <w:szCs w:val="20"/>
                <w:shd w:val="clear" w:color="auto" w:fill="FCFCFC"/>
                <w14:textFill>
                  <w14:solidFill>
                    <w14:schemeClr w14:val="tx1"/>
                  </w14:solidFill>
                </w14:textFill>
              </w:rPr>
            </w:pPr>
            <w:r>
              <w:rPr>
                <w:rFonts w:asciiTheme="majorBidi" w:hAnsiTheme="majorBidi" w:cstheme="majorBidi"/>
                <w:color w:val="000000" w:themeColor="text1"/>
                <w:sz w:val="20"/>
                <w:szCs w:val="20"/>
                <w:shd w:val="clear" w:color="auto" w:fill="FCFCFC"/>
                <w14:textFill>
                  <w14:solidFill>
                    <w14:schemeClr w14:val="tx1"/>
                  </w14:solidFill>
                </w14:textFill>
              </w:rPr>
              <w:t>Hunan University, C</w:t>
            </w:r>
            <w:r>
              <w:rPr>
                <w:rFonts w:hint="eastAsia" w:asciiTheme="majorBidi" w:hAnsiTheme="majorBidi" w:cstheme="majorBidi"/>
                <w:color w:val="000000" w:themeColor="text1"/>
                <w:sz w:val="20"/>
                <w:szCs w:val="20"/>
                <w:shd w:val="clear" w:color="auto" w:fill="FCFCFC"/>
                <w14:textFill>
                  <w14:solidFill>
                    <w14:schemeClr w14:val="tx1"/>
                  </w14:solidFill>
                </w14:textFill>
              </w:rPr>
              <w:t>hina</w:t>
            </w:r>
          </w:p>
          <w:p w14:paraId="608CA9D5">
            <w:pPr>
              <w:spacing w:before="120" w:beforeLines="50"/>
              <w:jc w:val="center"/>
              <w:rPr>
                <w:rFonts w:hint="eastAsia" w:asciiTheme="majorBidi" w:hAnsiTheme="majorBidi" w:eastAsiaTheme="minorEastAsia" w:cstheme="majorBidi"/>
                <w:color w:val="000000"/>
                <w:sz w:val="20"/>
                <w:szCs w:val="20"/>
                <w:lang w:val="en-US" w:eastAsia="zh-CN"/>
              </w:rPr>
            </w:pPr>
            <w:r>
              <w:rPr>
                <w:rFonts w:asciiTheme="majorBidi" w:hAnsiTheme="majorBidi" w:cstheme="majorBidi"/>
                <w:color w:val="000000" w:themeColor="text1"/>
                <w:sz w:val="20"/>
                <w:szCs w:val="20"/>
                <w:shd w:val="clear" w:color="auto" w:fill="FCFCFC"/>
                <w14:textFill>
                  <w14:solidFill>
                    <w14:schemeClr w14:val="tx1"/>
                  </w14:solidFill>
                </w14:textFill>
              </w:rPr>
              <w:t>Email: zhangzhe0828@hnu.edu.cn</w:t>
            </w:r>
          </w:p>
        </w:tc>
        <w:tc>
          <w:tcPr>
            <w:tcW w:w="1510" w:type="pct"/>
          </w:tcPr>
          <w:p w14:paraId="18E145F5">
            <w:pPr>
              <w:spacing w:before="120" w:beforeLines="50" w:line="360" w:lineRule="auto"/>
              <w:jc w:val="center"/>
              <w:rPr>
                <w:rFonts w:asciiTheme="majorBidi" w:hAnsiTheme="majorBidi" w:cstheme="majorBidi"/>
                <w:color w:val="000000" w:themeColor="text1"/>
                <w:sz w:val="20"/>
                <w:szCs w:val="20"/>
                <w:shd w:val="clear" w:color="auto" w:fill="FCFCFC"/>
                <w14:textFill>
                  <w14:solidFill>
                    <w14:schemeClr w14:val="tx1"/>
                  </w14:solidFill>
                </w14:textFill>
              </w:rPr>
            </w:pPr>
            <w:r>
              <w:drawing>
                <wp:inline distT="0" distB="0" distL="0" distR="0">
                  <wp:extent cx="543560" cy="644525"/>
                  <wp:effectExtent l="0" t="0" r="889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7143" r="8572"/>
                          <a:stretch>
                            <a:fillRect/>
                          </a:stretch>
                        </pic:blipFill>
                        <pic:spPr>
                          <a:xfrm>
                            <a:off x="0" y="0"/>
                            <a:ext cx="546390" cy="648260"/>
                          </a:xfrm>
                          <a:prstGeom prst="rect">
                            <a:avLst/>
                          </a:prstGeom>
                          <a:noFill/>
                          <a:ln>
                            <a:noFill/>
                          </a:ln>
                        </pic:spPr>
                      </pic:pic>
                    </a:graphicData>
                  </a:graphic>
                </wp:inline>
              </w:drawing>
            </w:r>
          </w:p>
          <w:p w14:paraId="5773085E">
            <w:pPr>
              <w:spacing w:before="120" w:beforeLines="50"/>
              <w:jc w:val="center"/>
              <w:rPr>
                <w:rFonts w:asciiTheme="majorBidi" w:hAnsiTheme="majorBidi" w:eastAsiaTheme="minorEastAsia" w:cstheme="majorBidi"/>
                <w:color w:val="000000"/>
                <w:sz w:val="20"/>
                <w:szCs w:val="20"/>
                <w:lang w:val="en-US" w:eastAsia="zh-CN"/>
              </w:rPr>
            </w:pPr>
            <w:r>
              <w:rPr>
                <w:rFonts w:asciiTheme="majorBidi" w:hAnsiTheme="majorBidi" w:eastAsiaTheme="minorEastAsia" w:cstheme="majorBidi"/>
                <w:color w:val="000000"/>
                <w:sz w:val="20"/>
                <w:szCs w:val="20"/>
                <w:lang w:val="en-US" w:eastAsia="zh-CN"/>
              </w:rPr>
              <w:t>Dr Tangfan Xiahou</w:t>
            </w:r>
          </w:p>
          <w:p w14:paraId="2D52CB96">
            <w:pPr>
              <w:spacing w:before="120" w:beforeLines="50"/>
              <w:jc w:val="center"/>
              <w:rPr>
                <w:rFonts w:asciiTheme="majorBidi" w:hAnsiTheme="majorBidi" w:eastAsiaTheme="minorEastAsia" w:cstheme="majorBidi"/>
                <w:color w:val="000000"/>
                <w:sz w:val="20"/>
                <w:szCs w:val="20"/>
                <w:lang w:val="en-US" w:eastAsia="zh-CN"/>
              </w:rPr>
            </w:pPr>
            <w:r>
              <w:rPr>
                <w:rFonts w:asciiTheme="majorBidi" w:hAnsiTheme="majorBidi" w:eastAsiaTheme="minorEastAsia" w:cstheme="majorBidi"/>
                <w:color w:val="000000"/>
                <w:sz w:val="20"/>
                <w:szCs w:val="20"/>
                <w:lang w:val="en-US" w:eastAsia="zh-CN"/>
              </w:rPr>
              <w:t>University of Electronic Science and Technology of China, China</w:t>
            </w:r>
          </w:p>
          <w:p w14:paraId="148DB99C">
            <w:pPr>
              <w:spacing w:before="120" w:beforeLines="50"/>
              <w:jc w:val="center"/>
              <w:rPr>
                <w:rFonts w:asciiTheme="majorBidi" w:hAnsiTheme="majorBidi" w:cstheme="majorBidi"/>
                <w:color w:val="000000" w:themeColor="text1"/>
                <w:sz w:val="20"/>
                <w:szCs w:val="20"/>
                <w:shd w:val="clear" w:color="auto" w:fill="FCFCFC"/>
                <w14:textFill>
                  <w14:solidFill>
                    <w14:schemeClr w14:val="tx1"/>
                  </w14:solidFill>
                </w14:textFill>
              </w:rPr>
            </w:pPr>
            <w:r>
              <w:rPr>
                <w:rFonts w:asciiTheme="majorBidi" w:hAnsiTheme="majorBidi" w:eastAsiaTheme="minorEastAsia" w:cstheme="majorBidi"/>
                <w:color w:val="000000"/>
                <w:sz w:val="20"/>
                <w:szCs w:val="20"/>
                <w:lang w:val="en-US" w:eastAsia="zh-CN"/>
              </w:rPr>
              <w:t>Email: xiahoutf@uestc.edu.cn</w:t>
            </w:r>
          </w:p>
        </w:tc>
        <w:tc>
          <w:tcPr>
            <w:tcW w:w="1587" w:type="pct"/>
          </w:tcPr>
          <w:p w14:paraId="042DCF63">
            <w:pPr>
              <w:jc w:val="center"/>
              <w:rPr>
                <w:rFonts w:asciiTheme="majorBidi" w:hAnsiTheme="majorBidi" w:eastAsiaTheme="minorEastAsia" w:cstheme="majorBidi"/>
                <w:color w:val="000000"/>
                <w:sz w:val="20"/>
                <w:szCs w:val="20"/>
                <w:lang w:val="en-US" w:eastAsia="zh-CN"/>
              </w:rPr>
            </w:pPr>
            <w:r>
              <w:rPr>
                <w:rFonts w:asciiTheme="majorBidi" w:hAnsiTheme="majorBidi" w:cstheme="majorBidi"/>
                <w:color w:val="000000" w:themeColor="text1"/>
                <w:sz w:val="20"/>
                <w:szCs w:val="20"/>
                <w:shd w:val="clear" w:color="auto" w:fill="FCFCFC"/>
                <w14:textFill>
                  <w14:solidFill>
                    <w14:schemeClr w14:val="tx1"/>
                  </w14:solidFill>
                </w14:textFill>
              </w:rPr>
              <w:drawing>
                <wp:inline distT="0" distB="0" distL="0" distR="0">
                  <wp:extent cx="658495" cy="589280"/>
                  <wp:effectExtent l="0" t="3492" r="4762" b="4763"/>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l="9998" t="38585" r="49876" b="13525"/>
                          <a:stretch>
                            <a:fillRect/>
                          </a:stretch>
                        </pic:blipFill>
                        <pic:spPr>
                          <a:xfrm rot="5400000">
                            <a:off x="0" y="0"/>
                            <a:ext cx="665255" cy="595322"/>
                          </a:xfrm>
                          <a:prstGeom prst="rect">
                            <a:avLst/>
                          </a:prstGeom>
                          <a:noFill/>
                          <a:ln>
                            <a:noFill/>
                          </a:ln>
                        </pic:spPr>
                      </pic:pic>
                    </a:graphicData>
                  </a:graphic>
                </wp:inline>
              </w:drawing>
            </w:r>
            <w:r>
              <w:rPr>
                <w:rFonts w:asciiTheme="majorBidi" w:hAnsiTheme="majorBidi" w:eastAsiaTheme="minorEastAsia" w:cstheme="majorBidi"/>
                <w:color w:val="000000"/>
                <w:sz w:val="20"/>
                <w:szCs w:val="20"/>
                <w:lang w:val="en-US" w:eastAsia="zh-CN"/>
              </w:rPr>
              <w:t xml:space="preserve"> </w:t>
            </w:r>
          </w:p>
          <w:p w14:paraId="103E7F21">
            <w:pPr>
              <w:spacing w:before="240" w:beforeLines="100"/>
              <w:jc w:val="center"/>
              <w:rPr>
                <w:rFonts w:asciiTheme="majorBidi" w:hAnsiTheme="majorBidi" w:eastAsiaTheme="minorEastAsia" w:cstheme="majorBidi"/>
                <w:color w:val="000000"/>
                <w:sz w:val="20"/>
                <w:szCs w:val="20"/>
                <w:lang w:val="en-US" w:eastAsia="zh-CN"/>
              </w:rPr>
            </w:pPr>
            <w:r>
              <w:rPr>
                <w:rFonts w:asciiTheme="majorBidi" w:hAnsiTheme="majorBidi" w:eastAsiaTheme="minorEastAsia" w:cstheme="majorBidi"/>
                <w:color w:val="000000"/>
                <w:sz w:val="20"/>
                <w:szCs w:val="20"/>
                <w:lang w:val="en-US" w:eastAsia="zh-CN"/>
              </w:rPr>
              <w:t>Dr. Guozhong Fu</w:t>
            </w:r>
          </w:p>
          <w:p w14:paraId="33D6AE07">
            <w:pPr>
              <w:spacing w:before="120" w:beforeLines="50"/>
              <w:jc w:val="center"/>
              <w:rPr>
                <w:rFonts w:asciiTheme="majorBidi" w:hAnsiTheme="majorBidi" w:cstheme="majorBidi"/>
                <w:color w:val="000000" w:themeColor="text1"/>
                <w:sz w:val="20"/>
                <w:szCs w:val="20"/>
                <w:shd w:val="clear" w:color="auto" w:fill="FCFCFC"/>
                <w14:textFill>
                  <w14:solidFill>
                    <w14:schemeClr w14:val="tx1"/>
                  </w14:solidFill>
                </w14:textFill>
              </w:rPr>
            </w:pPr>
            <w:r>
              <w:rPr>
                <w:rFonts w:asciiTheme="majorBidi" w:hAnsiTheme="majorBidi" w:cstheme="majorBidi"/>
                <w:color w:val="000000" w:themeColor="text1"/>
                <w:sz w:val="20"/>
                <w:szCs w:val="20"/>
                <w:shd w:val="clear" w:color="auto" w:fill="FCFCFC"/>
                <w14:textFill>
                  <w14:solidFill>
                    <w14:schemeClr w14:val="tx1"/>
                  </w14:solidFill>
                </w14:textFill>
              </w:rPr>
              <w:t>Nuclear Power Institute of China (NPIC), China</w:t>
            </w:r>
          </w:p>
          <w:p w14:paraId="5F4533AF">
            <w:pPr>
              <w:spacing w:before="120" w:beforeLines="50"/>
              <w:jc w:val="center"/>
              <w:rPr>
                <w:rFonts w:asciiTheme="majorBidi" w:hAnsiTheme="majorBidi" w:cstheme="majorBidi"/>
                <w:color w:val="000000" w:themeColor="text1"/>
                <w:sz w:val="20"/>
                <w:szCs w:val="20"/>
                <w:shd w:val="clear" w:color="auto" w:fill="FCFCFC"/>
                <w14:textFill>
                  <w14:solidFill>
                    <w14:schemeClr w14:val="tx1"/>
                  </w14:solidFill>
                </w14:textFill>
              </w:rPr>
            </w:pPr>
            <w:r>
              <w:rPr>
                <w:rFonts w:asciiTheme="majorBidi" w:hAnsiTheme="majorBidi" w:eastAsiaTheme="minorEastAsia" w:cstheme="majorBidi"/>
                <w:color w:val="000000"/>
                <w:sz w:val="20"/>
                <w:szCs w:val="20"/>
                <w:lang w:val="en-US" w:eastAsia="zh-CN"/>
              </w:rPr>
              <w:t>Email: guo-zhongfu@hotmail.com</w:t>
            </w:r>
          </w:p>
        </w:tc>
      </w:tr>
    </w:tbl>
    <w:p w14:paraId="4985BE0F">
      <w:pPr>
        <w:pStyle w:val="9"/>
        <w:spacing w:line="14" w:lineRule="exact"/>
        <w:jc w:val="both"/>
        <w:rPr>
          <w:rFonts w:hint="eastAsia" w:eastAsiaTheme="minorEastAsia"/>
          <w:lang w:eastAsia="zh-CN"/>
        </w:rPr>
      </w:pPr>
    </w:p>
    <w:sectPr>
      <w:headerReference r:id="rId5" w:type="default"/>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FF6D">
    <w:pPr>
      <w:pStyle w:val="3"/>
      <w:jc w:val="center"/>
    </w:pPr>
    <w:r>
      <w:rPr>
        <w:lang w:val="en-US" w:eastAsia="zh-CN"/>
      </w:rPr>
      <w:drawing>
        <wp:inline distT="0" distB="0" distL="0" distR="0">
          <wp:extent cx="2272665" cy="984885"/>
          <wp:effectExtent l="0" t="0" r="0" b="5715"/>
          <wp:docPr id="6" name="图片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75461" cy="11160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M7E0M7EwMTMyMjdQ0lEKTi0uzszPAykwrgUAMsTcSywAAAA="/>
  </w:docVars>
  <w:rsids>
    <w:rsidRoot w:val="009B6FB6"/>
    <w:rsid w:val="00000298"/>
    <w:rsid w:val="0002696C"/>
    <w:rsid w:val="00085C40"/>
    <w:rsid w:val="000B3838"/>
    <w:rsid w:val="000F3BD7"/>
    <w:rsid w:val="000F6303"/>
    <w:rsid w:val="00186594"/>
    <w:rsid w:val="001A1317"/>
    <w:rsid w:val="00200432"/>
    <w:rsid w:val="00241250"/>
    <w:rsid w:val="00272219"/>
    <w:rsid w:val="00292FF3"/>
    <w:rsid w:val="002E6CA3"/>
    <w:rsid w:val="003175A5"/>
    <w:rsid w:val="00330BD5"/>
    <w:rsid w:val="0033577B"/>
    <w:rsid w:val="00386433"/>
    <w:rsid w:val="003E3C89"/>
    <w:rsid w:val="003E6557"/>
    <w:rsid w:val="003F7D44"/>
    <w:rsid w:val="00416926"/>
    <w:rsid w:val="00452221"/>
    <w:rsid w:val="00457A64"/>
    <w:rsid w:val="004D5333"/>
    <w:rsid w:val="0051228B"/>
    <w:rsid w:val="00522B88"/>
    <w:rsid w:val="00531D45"/>
    <w:rsid w:val="00545475"/>
    <w:rsid w:val="00572895"/>
    <w:rsid w:val="005B42C2"/>
    <w:rsid w:val="005C482B"/>
    <w:rsid w:val="005E6273"/>
    <w:rsid w:val="00644F19"/>
    <w:rsid w:val="006571E4"/>
    <w:rsid w:val="006578AE"/>
    <w:rsid w:val="00670EA2"/>
    <w:rsid w:val="0069515A"/>
    <w:rsid w:val="006E387D"/>
    <w:rsid w:val="00710B96"/>
    <w:rsid w:val="007209F3"/>
    <w:rsid w:val="00720C4F"/>
    <w:rsid w:val="00725F44"/>
    <w:rsid w:val="00744ABA"/>
    <w:rsid w:val="00747227"/>
    <w:rsid w:val="007502DF"/>
    <w:rsid w:val="00770D6C"/>
    <w:rsid w:val="00773F23"/>
    <w:rsid w:val="007869F5"/>
    <w:rsid w:val="007B0B74"/>
    <w:rsid w:val="007C4651"/>
    <w:rsid w:val="007E2A16"/>
    <w:rsid w:val="00820FDE"/>
    <w:rsid w:val="0085673F"/>
    <w:rsid w:val="008A1C45"/>
    <w:rsid w:val="008C044A"/>
    <w:rsid w:val="008C0A05"/>
    <w:rsid w:val="00924554"/>
    <w:rsid w:val="0093799F"/>
    <w:rsid w:val="0096674A"/>
    <w:rsid w:val="00982C0F"/>
    <w:rsid w:val="009931FB"/>
    <w:rsid w:val="009A3F7B"/>
    <w:rsid w:val="009B6FB6"/>
    <w:rsid w:val="009D4288"/>
    <w:rsid w:val="009D42C7"/>
    <w:rsid w:val="009F7575"/>
    <w:rsid w:val="00AC057E"/>
    <w:rsid w:val="00AD31B6"/>
    <w:rsid w:val="00B218C4"/>
    <w:rsid w:val="00B26E6E"/>
    <w:rsid w:val="00B536CC"/>
    <w:rsid w:val="00B654D9"/>
    <w:rsid w:val="00B97285"/>
    <w:rsid w:val="00BA0090"/>
    <w:rsid w:val="00BB5DFC"/>
    <w:rsid w:val="00BE11D3"/>
    <w:rsid w:val="00BE6BEB"/>
    <w:rsid w:val="00C17055"/>
    <w:rsid w:val="00C72AD1"/>
    <w:rsid w:val="00C84C0D"/>
    <w:rsid w:val="00CA3215"/>
    <w:rsid w:val="00CE4E4F"/>
    <w:rsid w:val="00D157D4"/>
    <w:rsid w:val="00D23852"/>
    <w:rsid w:val="00D437FA"/>
    <w:rsid w:val="00D63702"/>
    <w:rsid w:val="00D730D0"/>
    <w:rsid w:val="00D747A0"/>
    <w:rsid w:val="00DA6737"/>
    <w:rsid w:val="00DB30E4"/>
    <w:rsid w:val="00DD6AE4"/>
    <w:rsid w:val="00E01D01"/>
    <w:rsid w:val="00E043FE"/>
    <w:rsid w:val="00E4242E"/>
    <w:rsid w:val="00E50ED2"/>
    <w:rsid w:val="00E90225"/>
    <w:rsid w:val="00EA110B"/>
    <w:rsid w:val="00EC700D"/>
    <w:rsid w:val="00EF2E7F"/>
    <w:rsid w:val="00F40961"/>
    <w:rsid w:val="00F60CBA"/>
    <w:rsid w:val="00F70B5D"/>
    <w:rsid w:val="00F77A07"/>
    <w:rsid w:val="00FA16A3"/>
    <w:rsid w:val="00FB2E58"/>
    <w:rsid w:val="00FC1978"/>
    <w:rsid w:val="00FC2BCA"/>
    <w:rsid w:val="00FF5163"/>
    <w:rsid w:val="2F3A0F64"/>
    <w:rsid w:val="542655C7"/>
    <w:rsid w:val="75EE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CA" w:eastAsia="en-GB" w:bidi="ar-SA"/>
      <w14:ligatures w14:val="none"/>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pPr>
  </w:style>
  <w:style w:type="paragraph" w:styleId="3">
    <w:name w:val="header"/>
    <w:basedOn w:val="1"/>
    <w:link w:val="7"/>
    <w:unhideWhenUsed/>
    <w:uiPriority w:val="99"/>
    <w:pPr>
      <w:tabs>
        <w:tab w:val="center" w:pos="4680"/>
        <w:tab w:val="right" w:pos="9360"/>
      </w:tabs>
    </w:pPr>
  </w:style>
  <w:style w:type="table" w:styleId="5">
    <w:name w:val="Table Grid"/>
    <w:basedOn w:val="4"/>
    <w:qFormat/>
    <w:uiPriority w:val="39"/>
    <w:pPr>
      <w:spacing w:after="0" w:line="240" w:lineRule="auto"/>
    </w:pPr>
    <w:rPr>
      <w:kern w:val="0"/>
      <w:sz w:val="24"/>
      <w:szCs w:val="24"/>
      <w:lang w:val="en-CA"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Times New Roman" w:cs="Times New Roman"/>
      <w:kern w:val="0"/>
      <w:sz w:val="24"/>
      <w:szCs w:val="24"/>
      <w:lang w:val="en-CA" w:eastAsia="en-GB"/>
      <w14:ligatures w14:val="none"/>
    </w:rPr>
  </w:style>
  <w:style w:type="character" w:customStyle="1" w:styleId="8">
    <w:name w:val="页脚 字符"/>
    <w:basedOn w:val="6"/>
    <w:link w:val="2"/>
    <w:uiPriority w:val="99"/>
    <w:rPr>
      <w:rFonts w:ascii="Times New Roman" w:hAnsi="Times New Roman" w:eastAsia="Times New Roman" w:cs="Times New Roman"/>
      <w:kern w:val="0"/>
      <w:sz w:val="24"/>
      <w:szCs w:val="24"/>
      <w:lang w:val="en-CA" w:eastAsia="en-GB"/>
      <w14:ligatures w14:val="none"/>
    </w:rPr>
  </w:style>
  <w:style w:type="paragraph" w:styleId="9">
    <w:name w:val="No Spacing"/>
    <w:qFormat/>
    <w:uiPriority w:val="1"/>
    <w:pPr>
      <w:spacing w:after="0" w:line="240" w:lineRule="auto"/>
    </w:pPr>
    <w:rPr>
      <w:rFonts w:ascii="Times New Roman" w:hAnsi="Times New Roman" w:eastAsia="Times New Roman" w:cs="Times New Roman"/>
      <w:kern w:val="0"/>
      <w:sz w:val="24"/>
      <w:szCs w:val="24"/>
      <w:lang w:val="en-CA" w:eastAsia="en-GB"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A66D-CAAE-488E-B7CF-3F2A12DB9040}">
  <ds:schemaRefs/>
</ds:datastoreItem>
</file>

<file path=docProps/app.xml><?xml version="1.0" encoding="utf-8"?>
<Properties xmlns="http://schemas.openxmlformats.org/officeDocument/2006/extended-properties" xmlns:vt="http://schemas.openxmlformats.org/officeDocument/2006/docPropsVTypes">
  <Template>Normal</Template>
  <Pages>2</Pages>
  <Words>335</Words>
  <Characters>2335</Characters>
  <Lines>19</Lines>
  <Paragraphs>5</Paragraphs>
  <TotalTime>48</TotalTime>
  <ScaleCrop>false</ScaleCrop>
  <LinksUpToDate>false</LinksUpToDate>
  <CharactersWithSpaces>2657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2024-07-15T15:24:00Z</dcterms:created>
  <dc:creator>Xu, Zifei</dc:creator>
  <cp:lastModifiedBy>张哲-湖南大学-装备可靠性</cp:lastModifiedBy>
  <dcterms:modified xsi:type="dcterms:W3CDTF">2025-07-01T02:18:42Z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eyJoZGlkIjoiMzEwNTM5NzYwMDRjMzkwZTVkZjY2ODkwMGIxNGU0OTUiLCJ1c2VySWQiOiI2NTYxOTU4NDcifQ==</vt:lpwstr>
  </property>
  <property fmtid="{D5CDD505-2E9C-101B-9397-08002B2CF9AE}" pid="3" name="KSOProductBuildVer">
    <vt:lpwstr>2052-12.1.0.21541</vt:lpwstr>
  </property>
  <property fmtid="{D5CDD505-2E9C-101B-9397-08002B2CF9AE}" pid="4" name="ICV">
    <vt:lpwstr>A866EF05FDFD4807BA63C4425BEA5C48_13</vt:lpwstr>
  </property>
</Properties>
</file>