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76" w:rsidRDefault="007F5A71" w:rsidP="00603776">
      <w:pPr>
        <w:jc w:val="center"/>
        <w:rPr>
          <w:rFonts w:eastAsiaTheme="minorEastAsia"/>
          <w:b/>
          <w:bCs/>
          <w:color w:val="000000" w:themeColor="text1"/>
          <w:lang w:eastAsia="zh-CN"/>
        </w:rPr>
      </w:pPr>
      <w:bookmarkStart w:id="0" w:name="_GoBack"/>
      <w:r>
        <w:rPr>
          <w:rFonts w:eastAsiaTheme="minorEastAsia"/>
          <w:b/>
          <w:bCs/>
          <w:color w:val="000000" w:themeColor="text1"/>
          <w:lang w:eastAsia="zh-CN"/>
        </w:rPr>
        <w:t>Special Session on</w:t>
      </w:r>
      <w:r w:rsidR="00F82F73" w:rsidRPr="00F82F73">
        <w:rPr>
          <w:rFonts w:eastAsiaTheme="minorEastAsia"/>
          <w:b/>
          <w:bCs/>
          <w:color w:val="000000" w:themeColor="text1"/>
          <w:lang w:eastAsia="zh-CN"/>
        </w:rPr>
        <w:t xml:space="preserve"> </w:t>
      </w:r>
      <w:r w:rsidR="00603776">
        <w:rPr>
          <w:rFonts w:eastAsiaTheme="minorEastAsia"/>
          <w:b/>
          <w:bCs/>
          <w:color w:val="000000" w:themeColor="text1"/>
          <w:lang w:eastAsia="zh-CN"/>
        </w:rPr>
        <w:t>Reliability</w:t>
      </w:r>
      <w:r w:rsidR="00603776" w:rsidRPr="001A3467">
        <w:rPr>
          <w:rFonts w:eastAsiaTheme="minorEastAsia"/>
          <w:b/>
          <w:bCs/>
          <w:color w:val="000000" w:themeColor="text1"/>
          <w:lang w:eastAsia="zh-CN"/>
        </w:rPr>
        <w:t xml:space="preserve"> of </w:t>
      </w:r>
      <w:r w:rsidR="00603776" w:rsidRPr="00603776">
        <w:rPr>
          <w:rFonts w:eastAsiaTheme="minorEastAsia"/>
          <w:b/>
          <w:bCs/>
          <w:color w:val="000000" w:themeColor="text1"/>
          <w:lang w:eastAsia="zh-CN"/>
        </w:rPr>
        <w:t>mission-critical</w:t>
      </w:r>
      <w:r>
        <w:rPr>
          <w:rFonts w:eastAsiaTheme="minorEastAsia"/>
          <w:b/>
          <w:bCs/>
          <w:color w:val="000000" w:themeColor="text1"/>
          <w:lang w:eastAsia="zh-CN"/>
        </w:rPr>
        <w:t xml:space="preserve"> systems</w:t>
      </w:r>
    </w:p>
    <w:bookmarkEnd w:id="0"/>
    <w:p w:rsidR="00603776" w:rsidRPr="001A3467" w:rsidRDefault="00603776" w:rsidP="00603776">
      <w:pPr>
        <w:pStyle w:val="a7"/>
        <w:spacing w:before="240" w:line="288" w:lineRule="auto"/>
        <w:jc w:val="both"/>
        <w:rPr>
          <w:rFonts w:eastAsiaTheme="minorEastAsia"/>
          <w:lang w:eastAsia="zh-CN"/>
        </w:rPr>
      </w:pPr>
      <w:r w:rsidRPr="001A3467">
        <w:rPr>
          <w:rFonts w:eastAsiaTheme="minorEastAsia"/>
          <w:lang w:eastAsia="zh-CN"/>
        </w:rPr>
        <w:t xml:space="preserve">In mission-critical fields, e.g., infrastructure, manufacturing, aviation, and high-level national security, the rapidly growing and continuous evolution of technology </w:t>
      </w:r>
      <w:r>
        <w:rPr>
          <w:rFonts w:eastAsiaTheme="minorEastAsia"/>
          <w:lang w:eastAsia="zh-CN"/>
        </w:rPr>
        <w:t>has</w:t>
      </w:r>
      <w:r w:rsidRPr="001A3467">
        <w:rPr>
          <w:rFonts w:eastAsiaTheme="minorEastAsia"/>
          <w:lang w:eastAsia="zh-CN"/>
        </w:rPr>
        <w:t xml:space="preserve"> made products and </w:t>
      </w:r>
      <w:r>
        <w:rPr>
          <w:rFonts w:eastAsiaTheme="minorEastAsia"/>
          <w:lang w:eastAsia="zh-CN"/>
        </w:rPr>
        <w:t>processes</w:t>
      </w:r>
      <w:r w:rsidRPr="001A3467">
        <w:rPr>
          <w:rFonts w:eastAsiaTheme="minorEastAsia"/>
          <w:lang w:eastAsia="zh-CN"/>
        </w:rPr>
        <w:t xml:space="preserve"> increasingly complex. Such products and </w:t>
      </w:r>
      <w:r>
        <w:rPr>
          <w:rFonts w:eastAsiaTheme="minorEastAsia"/>
          <w:lang w:eastAsia="zh-CN"/>
        </w:rPr>
        <w:t>processes</w:t>
      </w:r>
      <w:r w:rsidRPr="001A3467">
        <w:rPr>
          <w:rFonts w:eastAsiaTheme="minorEastAsia"/>
          <w:lang w:eastAsia="zh-CN"/>
        </w:rPr>
        <w:t xml:space="preserve"> are designed to meet advanced functional and reliability requirements, and unexpected failures during </w:t>
      </w:r>
      <w:r>
        <w:rPr>
          <w:rFonts w:eastAsiaTheme="minorEastAsia"/>
          <w:lang w:eastAsia="zh-CN"/>
        </w:rPr>
        <w:t xml:space="preserve">a </w:t>
      </w:r>
      <w:r w:rsidRPr="001A3467">
        <w:rPr>
          <w:rFonts w:eastAsiaTheme="minorEastAsia"/>
          <w:lang w:eastAsia="zh-CN"/>
        </w:rPr>
        <w:t xml:space="preserve">mission may lead to catastrophic consequences. Therefore, </w:t>
      </w:r>
      <w:r>
        <w:rPr>
          <w:rFonts w:eastAsiaTheme="minorEastAsia"/>
          <w:lang w:eastAsia="zh-CN"/>
        </w:rPr>
        <w:t xml:space="preserve">the </w:t>
      </w:r>
      <w:r w:rsidRPr="001A3467">
        <w:rPr>
          <w:rFonts w:eastAsiaTheme="minorEastAsia"/>
          <w:lang w:eastAsia="zh-CN"/>
        </w:rPr>
        <w:t xml:space="preserve">reliability of </w:t>
      </w:r>
      <w:r>
        <w:rPr>
          <w:rFonts w:eastAsiaTheme="minorEastAsia"/>
          <w:lang w:eastAsia="zh-CN"/>
        </w:rPr>
        <w:t>such mission-critical systems</w:t>
      </w:r>
      <w:r w:rsidRPr="001A3467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is of utmost importance.</w:t>
      </w:r>
    </w:p>
    <w:p w:rsidR="00DF0744" w:rsidRDefault="00DF0744"/>
    <w:p w:rsidR="00F82F73" w:rsidRDefault="00F82F73"/>
    <w:p w:rsidR="0050432A" w:rsidRDefault="0050432A" w:rsidP="0050432A">
      <w:r>
        <w:t>Topics of i</w:t>
      </w:r>
      <w:r>
        <w:t xml:space="preserve">nterest </w:t>
      </w:r>
      <w:r>
        <w:t xml:space="preserve">include </w:t>
      </w:r>
      <w:r>
        <w:t>(but not limited to):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Failure mode and effect</w:t>
      </w:r>
      <w:r w:rsidR="00F82F73">
        <w:t>s</w:t>
      </w:r>
      <w:r>
        <w:t xml:space="preserve"> analysis (FMEA)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Rel</w:t>
      </w:r>
      <w:r>
        <w:t>iability modelling and analysis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Reliability-based design optimization (RBDO) methods;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 xml:space="preserve">Risk analysis and reliability assessment for </w:t>
      </w:r>
      <w:r w:rsidRPr="0050432A">
        <w:rPr>
          <w:rFonts w:eastAsiaTheme="minorEastAsia"/>
          <w:lang w:eastAsia="zh-CN"/>
        </w:rPr>
        <w:t>mission-critical</w:t>
      </w:r>
      <w:r>
        <w:t xml:space="preserve"> systems;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Reliability test design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Statistical methods for degradation modelling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Physical-based/data driven prognostics and health management (PHM) techniques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Machine learning techniques and applications in reliability engineering</w:t>
      </w:r>
    </w:p>
    <w:p w:rsidR="0050432A" w:rsidRDefault="0050432A" w:rsidP="0050432A">
      <w:pPr>
        <w:pStyle w:val="a8"/>
        <w:numPr>
          <w:ilvl w:val="0"/>
          <w:numId w:val="1"/>
        </w:numPr>
        <w:ind w:firstLineChars="0"/>
      </w:pPr>
      <w:r>
        <w:t>Uncertainty quantification and analysis for safety-critical systems</w:t>
      </w:r>
    </w:p>
    <w:p w:rsidR="00603776" w:rsidRDefault="00603776" w:rsidP="0050432A"/>
    <w:p w:rsidR="00F82F73" w:rsidRDefault="00F82F73" w:rsidP="0050432A"/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2940"/>
        <w:gridCol w:w="2879"/>
      </w:tblGrid>
      <w:tr w:rsidR="00F82F73" w:rsidTr="00582F6D">
        <w:trPr>
          <w:jc w:val="center"/>
        </w:trPr>
        <w:tc>
          <w:tcPr>
            <w:tcW w:w="1792" w:type="pct"/>
          </w:tcPr>
          <w:p w:rsidR="00F82F73" w:rsidRDefault="00F82F73" w:rsidP="00582F6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CFCFC"/>
              </w:rPr>
            </w:pPr>
          </w:p>
          <w:p w:rsidR="00F82F73" w:rsidRPr="001A691E" w:rsidRDefault="00582F6D" w:rsidP="00582F6D">
            <w:pPr>
              <w:jc w:val="center"/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>Prof</w:t>
            </w:r>
            <w:r w:rsidR="00F82F73">
              <w:rPr>
                <w:rFonts w:asciiTheme="majorBidi" w:eastAsiaTheme="minorEastAsia" w:hAnsiTheme="majorBidi" w:cstheme="majorBidi" w:hint="eastAsia"/>
                <w:noProof/>
                <w:color w:val="000000"/>
                <w:sz w:val="20"/>
                <w:szCs w:val="20"/>
                <w:lang w:val="en-US" w:eastAsia="zh-CN"/>
              </w:rPr>
              <w:t>.</w:t>
            </w:r>
            <w:r w:rsidR="00F82F73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="00F82F73">
              <w:rPr>
                <w:rFonts w:asciiTheme="majorBidi" w:eastAsiaTheme="minorEastAsia" w:hAnsiTheme="majorBidi" w:cstheme="majorBidi" w:hint="eastAsia"/>
                <w:noProof/>
                <w:color w:val="000000"/>
                <w:sz w:val="20"/>
                <w:szCs w:val="20"/>
                <w:lang w:val="en-US" w:eastAsia="zh-CN"/>
              </w:rPr>
              <w:t>Lechang</w:t>
            </w:r>
            <w:r w:rsidR="00F82F73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="00F82F73">
              <w:rPr>
                <w:rFonts w:asciiTheme="majorBidi" w:eastAsiaTheme="minorEastAsia" w:hAnsiTheme="majorBidi" w:cstheme="majorBidi" w:hint="eastAsia"/>
                <w:noProof/>
                <w:color w:val="000000"/>
                <w:sz w:val="20"/>
                <w:szCs w:val="20"/>
                <w:lang w:val="en-US" w:eastAsia="zh-CN"/>
              </w:rPr>
              <w:t>Yang</w:t>
            </w:r>
          </w:p>
          <w:p w:rsidR="00F82F73" w:rsidRDefault="00F82F73" w:rsidP="00582F6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CFCFC"/>
              </w:rPr>
            </w:pPr>
            <w:r w:rsidRPr="001A346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CFCFC"/>
              </w:rPr>
              <w:t>University of Science and Technology Beijing</w:t>
            </w:r>
            <w:r w:rsidRPr="00457A6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CFCFC"/>
              </w:rPr>
              <w:t>, China</w:t>
            </w:r>
          </w:p>
          <w:p w:rsidR="00F82F73" w:rsidRPr="001A691E" w:rsidRDefault="00F82F73" w:rsidP="00582F6D">
            <w:pPr>
              <w:jc w:val="center"/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</w:pPr>
            <w:r w:rsidRPr="001A691E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 xml:space="preserve">Email: </w:t>
            </w:r>
            <w:r w:rsidRPr="001A3467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>yanglechang@ustb.edu.cn</w:t>
            </w:r>
          </w:p>
        </w:tc>
        <w:tc>
          <w:tcPr>
            <w:tcW w:w="1621" w:type="pct"/>
          </w:tcPr>
          <w:p w:rsidR="00F82F73" w:rsidRDefault="00F82F73" w:rsidP="00582F6D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</w:pPr>
          </w:p>
          <w:p w:rsidR="00F82F73" w:rsidRPr="00330BD5" w:rsidRDefault="00F82F73" w:rsidP="00582F6D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>Prof</w:t>
            </w:r>
            <w:r w:rsidRPr="00330BD5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 xml:space="preserve">. </w:t>
            </w:r>
            <w:r w:rsidR="00582F6D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>Ping Jiang</w:t>
            </w:r>
          </w:p>
          <w:p w:rsidR="00F82F73" w:rsidRPr="00330BD5" w:rsidRDefault="00F82F73" w:rsidP="00582F6D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</w:pPr>
            <w:r w:rsidRPr="001A3467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>National University of Defense Technology</w:t>
            </w:r>
            <w:r w:rsidRPr="00330BD5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>,</w: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 xml:space="preserve"> C</w:t>
            </w:r>
            <w:r w:rsidRPr="00B26E6E">
              <w:rPr>
                <w:rFonts w:asciiTheme="majorBidi" w:hAnsiTheme="majorBidi" w:cstheme="majorBidi" w:hint="eastAsia"/>
                <w:noProof/>
                <w:color w:val="000000" w:themeColor="text1"/>
                <w:sz w:val="20"/>
                <w:szCs w:val="20"/>
                <w:shd w:val="clear" w:color="auto" w:fill="FCFCFC"/>
              </w:rPr>
              <w:t>hina</w:t>
            </w:r>
          </w:p>
          <w:p w:rsidR="00F82F73" w:rsidRDefault="00F82F73" w:rsidP="00582F6D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</w:pPr>
            <w:r w:rsidRPr="00330BD5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 xml:space="preserve">Email: </w:t>
            </w:r>
            <w:r w:rsidR="00582F6D" w:rsidRPr="00582F6D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  <w:shd w:val="clear" w:color="auto" w:fill="FCFCFC"/>
              </w:rPr>
              <w:t>jiangping@nudt.edu.cn</w:t>
            </w:r>
          </w:p>
        </w:tc>
        <w:tc>
          <w:tcPr>
            <w:tcW w:w="1587" w:type="pct"/>
          </w:tcPr>
          <w:p w:rsidR="00F82F73" w:rsidRPr="001A691E" w:rsidRDefault="00F82F73" w:rsidP="00582F6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CFCFC"/>
              </w:rPr>
            </w:pPr>
          </w:p>
          <w:p w:rsidR="00F82F73" w:rsidRPr="001A691E" w:rsidRDefault="00582F6D" w:rsidP="00582F6D">
            <w:pPr>
              <w:jc w:val="center"/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>Prof. Huchen Liu</w:t>
            </w:r>
          </w:p>
          <w:p w:rsidR="00F82F73" w:rsidRDefault="00582F6D" w:rsidP="00582F6D">
            <w:pPr>
              <w:jc w:val="center"/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</w:pPr>
            <w:r w:rsidRPr="00582F6D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>Tongji University</w:t>
            </w:r>
            <w:r w:rsidR="00F82F73" w:rsidRPr="001A691E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 xml:space="preserve">, </w:t>
            </w:r>
            <w:r w:rsidR="00F82F73" w:rsidRPr="001A3467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>China</w:t>
            </w:r>
          </w:p>
          <w:p w:rsidR="00582F6D" w:rsidRDefault="00582F6D" w:rsidP="00582F6D">
            <w:pPr>
              <w:jc w:val="center"/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</w:pPr>
          </w:p>
          <w:p w:rsidR="00F82F73" w:rsidRPr="001A691E" w:rsidRDefault="00F82F73" w:rsidP="00582F6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CFCFC"/>
              </w:rPr>
            </w:pPr>
            <w:r w:rsidRPr="001A691E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 xml:space="preserve">Email: </w:t>
            </w:r>
            <w:r w:rsidR="00582F6D" w:rsidRPr="00582F6D">
              <w:rPr>
                <w:rFonts w:asciiTheme="majorBidi" w:eastAsiaTheme="minorEastAsia" w:hAnsiTheme="majorBidi" w:cstheme="majorBidi"/>
                <w:noProof/>
                <w:color w:val="000000"/>
                <w:sz w:val="20"/>
                <w:szCs w:val="20"/>
                <w:lang w:val="en-US" w:eastAsia="zh-CN"/>
              </w:rPr>
              <w:t>huchenliu@tongji.edu.cn</w:t>
            </w:r>
          </w:p>
        </w:tc>
      </w:tr>
    </w:tbl>
    <w:p w:rsidR="00F82F73" w:rsidRPr="00F82F73" w:rsidRDefault="00F82F73" w:rsidP="0050432A"/>
    <w:sectPr w:rsidR="00F82F73" w:rsidRPr="00F82F73" w:rsidSect="00582F6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03" w:rsidRDefault="00E03403" w:rsidP="00603776">
      <w:r>
        <w:separator/>
      </w:r>
    </w:p>
  </w:endnote>
  <w:endnote w:type="continuationSeparator" w:id="0">
    <w:p w:rsidR="00E03403" w:rsidRDefault="00E03403" w:rsidP="0060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03" w:rsidRDefault="00E03403" w:rsidP="00603776">
      <w:r>
        <w:separator/>
      </w:r>
    </w:p>
  </w:footnote>
  <w:footnote w:type="continuationSeparator" w:id="0">
    <w:p w:rsidR="00E03403" w:rsidRDefault="00E03403" w:rsidP="0060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0C0"/>
    <w:multiLevelType w:val="hybridMultilevel"/>
    <w:tmpl w:val="1602C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B8"/>
    <w:rsid w:val="0050432A"/>
    <w:rsid w:val="00582F6D"/>
    <w:rsid w:val="005939B8"/>
    <w:rsid w:val="00603776"/>
    <w:rsid w:val="007F5A71"/>
    <w:rsid w:val="00DF0744"/>
    <w:rsid w:val="00E03403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3EADF"/>
  <w15:chartTrackingRefBased/>
  <w15:docId w15:val="{9CA6DE9A-6E00-4161-898C-B0EB1F1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76"/>
    <w:rPr>
      <w:rFonts w:ascii="Times New Roman" w:eastAsia="Times New Roman" w:hAnsi="Times New Roman" w:cs="Times New Roman"/>
      <w:kern w:val="0"/>
      <w:sz w:val="24"/>
      <w:szCs w:val="24"/>
      <w:lang w:val="en-C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7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7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776"/>
    <w:rPr>
      <w:sz w:val="18"/>
      <w:szCs w:val="18"/>
    </w:rPr>
  </w:style>
  <w:style w:type="paragraph" w:styleId="a7">
    <w:name w:val="No Spacing"/>
    <w:uiPriority w:val="1"/>
    <w:qFormat/>
    <w:rsid w:val="00603776"/>
    <w:rPr>
      <w:rFonts w:ascii="Times New Roman" w:eastAsia="Times New Roman" w:hAnsi="Times New Roman" w:cs="Times New Roman"/>
      <w:kern w:val="0"/>
      <w:sz w:val="24"/>
      <w:szCs w:val="24"/>
      <w:lang w:val="en-CA" w:eastAsia="en-GB"/>
    </w:rPr>
  </w:style>
  <w:style w:type="paragraph" w:styleId="a8">
    <w:name w:val="List Paragraph"/>
    <w:basedOn w:val="a"/>
    <w:uiPriority w:val="34"/>
    <w:qFormat/>
    <w:rsid w:val="0050432A"/>
    <w:pPr>
      <w:ind w:firstLineChars="200" w:firstLine="420"/>
    </w:pPr>
  </w:style>
  <w:style w:type="table" w:styleId="a9">
    <w:name w:val="Table Grid"/>
    <w:basedOn w:val="a1"/>
    <w:uiPriority w:val="39"/>
    <w:rsid w:val="00F82F73"/>
    <w:rPr>
      <w:kern w:val="0"/>
      <w:sz w:val="24"/>
      <w:szCs w:val="24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1195</Characters>
  <Application>Microsoft Office Word</Application>
  <DocSecurity>0</DocSecurity>
  <Lines>36</Lines>
  <Paragraphs>23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5</cp:revision>
  <dcterms:created xsi:type="dcterms:W3CDTF">2025-05-31T07:38:00Z</dcterms:created>
  <dcterms:modified xsi:type="dcterms:W3CDTF">2025-05-31T08:07:00Z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a4aff800-ee39-44f6-996a-f26d0054b61e</vt:lpwstr>
  </property>
</Properties>
</file>